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ilvl w:val="1"/>
          <w:numId w:val="0"/>
        </w:numPr>
        <w:suppressLineNumbers w:val="0"/>
        <w:shd w:val="clear" w:fill="FFFFFF"/>
        <w:wordWrap w:val="0"/>
        <w:spacing w:before="300" w:beforeAutospacing="0" w:after="150" w:afterAutospacing="0" w:line="17" w:lineRule="atLeast"/>
        <w:ind w:leftChars="0"/>
        <w:jc w:val="center"/>
        <w:rPr>
          <w:rFonts w:hint="default" w:ascii="Times New Roman" w:hAnsi="Times New Roman" w:eastAsia="宋体" w:cs="Times New Roman"/>
          <w:b/>
          <w:color w:val="0D0D0D" w:themeColor="text1" w:themeTint="F2"/>
          <w:kern w:val="0"/>
          <w:sz w:val="32"/>
          <w:szCs w:val="32"/>
          <w14:textFill>
            <w14:solidFill>
              <w14:schemeClr w14:val="tx1">
                <w14:lumMod w14:val="95000"/>
                <w14:lumOff w14:val="5000"/>
              </w14:schemeClr>
            </w14:solidFill>
          </w14:textFill>
        </w:rPr>
      </w:pPr>
      <w:r>
        <w:rPr>
          <w:rFonts w:hint="default" w:ascii="Times New Roman" w:hAnsi="Times New Roman" w:eastAsia="宋体" w:cs="Times New Roman"/>
          <w:b/>
          <w:color w:val="0D0D0D" w:themeColor="text1" w:themeTint="F2"/>
          <w:kern w:val="0"/>
          <w:sz w:val="32"/>
          <w:szCs w:val="32"/>
          <w14:textFill>
            <w14:solidFill>
              <w14:schemeClr w14:val="tx1">
                <w14:lumMod w14:val="95000"/>
                <w14:lumOff w14:val="5000"/>
              </w14:schemeClr>
            </w14:solidFill>
          </w14:textFill>
        </w:rPr>
        <w:t>常州大学材料科学与工程学院</w:t>
      </w:r>
      <w:r>
        <w:rPr>
          <w:rFonts w:hint="eastAsia" w:ascii="Times New Roman" w:hAnsi="Times New Roman" w:eastAsia="宋体" w:cs="Times New Roman"/>
          <w:b/>
          <w:color w:val="0D0D0D" w:themeColor="text1" w:themeTint="F2"/>
          <w:kern w:val="0"/>
          <w:sz w:val="32"/>
          <w:szCs w:val="32"/>
          <w:lang w:eastAsia="zh-CN"/>
          <w14:textFill>
            <w14:solidFill>
              <w14:schemeClr w14:val="tx1">
                <w14:lumMod w14:val="95000"/>
                <w14:lumOff w14:val="5000"/>
              </w14:schemeClr>
            </w14:solidFill>
          </w14:textFill>
        </w:rPr>
        <w:t>北化二楼</w:t>
      </w:r>
      <w:r>
        <w:rPr>
          <w:rFonts w:hint="eastAsia" w:ascii="Times New Roman" w:hAnsi="Times New Roman" w:eastAsia="宋体" w:cs="Times New Roman"/>
          <w:b/>
          <w:color w:val="0D0D0D" w:themeColor="text1" w:themeTint="F2"/>
          <w:kern w:val="0"/>
          <w:sz w:val="32"/>
          <w:szCs w:val="32"/>
          <w:lang w:eastAsia="zh-CN"/>
          <w14:textFill>
            <w14:solidFill>
              <w14:schemeClr w14:val="tx1">
                <w14:lumMod w14:val="95000"/>
                <w14:lumOff w14:val="5000"/>
              </w14:schemeClr>
            </w14:solidFill>
          </w14:textFill>
        </w:rPr>
        <w:br w:type="textWrapping"/>
      </w:r>
      <w:r>
        <w:rPr>
          <w:rFonts w:hint="eastAsia" w:ascii="Times New Roman" w:hAnsi="Times New Roman" w:eastAsia="宋体" w:cs="Times New Roman"/>
          <w:b/>
          <w:color w:val="0D0D0D" w:themeColor="text1" w:themeTint="F2"/>
          <w:kern w:val="0"/>
          <w:sz w:val="32"/>
          <w:szCs w:val="32"/>
          <w:lang w:eastAsia="zh-CN"/>
          <w14:textFill>
            <w14:solidFill>
              <w14:schemeClr w14:val="tx1">
                <w14:lumMod w14:val="95000"/>
                <w14:lumOff w14:val="5000"/>
              </w14:schemeClr>
            </w14:solidFill>
          </w14:textFill>
        </w:rPr>
        <w:t>实验室实验台及通风柜采购及安装项目</w:t>
      </w:r>
      <w:r>
        <w:rPr>
          <w:rFonts w:hint="default" w:ascii="Times New Roman" w:hAnsi="Times New Roman" w:eastAsia="宋体" w:cs="Times New Roman"/>
          <w:b/>
          <w:color w:val="0D0D0D" w:themeColor="text1" w:themeTint="F2"/>
          <w:kern w:val="0"/>
          <w:sz w:val="32"/>
          <w:szCs w:val="32"/>
          <w14:textFill>
            <w14:solidFill>
              <w14:schemeClr w14:val="tx1">
                <w14:lumMod w14:val="95000"/>
                <w14:lumOff w14:val="5000"/>
              </w14:schemeClr>
            </w14:solidFill>
          </w14:textFill>
        </w:rPr>
        <w:t>询价公告</w:t>
      </w:r>
    </w:p>
    <w:p>
      <w:pPr>
        <w:keepNext w:val="0"/>
        <w:keepLines w:val="0"/>
        <w:pageBreakBefore w:val="0"/>
        <w:widowControl/>
        <w:numPr>
          <w:ilvl w:val="0"/>
          <w:numId w:val="2"/>
        </w:numPr>
        <w:shd w:val="clear" w:color="auto" w:fill="FFFFFF"/>
        <w:kinsoku/>
        <w:wordWrap/>
        <w:overflowPunct/>
        <w:topLinePunct w:val="0"/>
        <w:bidi w:val="0"/>
        <w:spacing w:line="400" w:lineRule="exact"/>
        <w:jc w:val="both"/>
        <w:rPr>
          <w:rFonts w:hint="default" w:ascii="Times New Roman" w:hAnsi="Times New Roman" w:eastAsia="宋体" w:cs="Times New Roman"/>
          <w:b/>
          <w:bCs/>
          <w:color w:val="0D0D0D" w:themeColor="text1" w:themeTint="F2"/>
          <w:kern w:val="0"/>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t>项目</w:t>
      </w:r>
      <w:r>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基本情况：</w:t>
      </w:r>
    </w:p>
    <w:p>
      <w:pPr>
        <w:keepNext w:val="0"/>
        <w:keepLines w:val="0"/>
        <w:pageBreakBefore w:val="0"/>
        <w:widowControl/>
        <w:numPr>
          <w:ilvl w:val="0"/>
          <w:numId w:val="3"/>
        </w:numPr>
        <w:shd w:val="clear" w:color="auto" w:fill="FFFFFF"/>
        <w:kinsoku/>
        <w:wordWrap/>
        <w:overflowPunct/>
        <w:topLinePunct w:val="0"/>
        <w:bidi w:val="0"/>
        <w:spacing w:line="400" w:lineRule="exact"/>
        <w:ind w:firstLine="480" w:firstLineChars="20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项目名称：常州大学</w:t>
      </w:r>
      <w:r>
        <w:rPr>
          <w:rFonts w:hint="eastAsia" w:ascii="Times New Roman" w:hAnsi="Times New Roman" w:eastAsia="宋体" w:cs="Times New Roman"/>
          <w:color w:val="auto"/>
          <w:kern w:val="0"/>
          <w:sz w:val="24"/>
          <w:szCs w:val="24"/>
          <w:lang w:eastAsia="zh-CN"/>
        </w:rPr>
        <w:t>材料科学与工程学院北化二楼实验室实验台及通风柜采购及安装项目询价公告。</w:t>
      </w:r>
    </w:p>
    <w:p>
      <w:pPr>
        <w:keepNext w:val="0"/>
        <w:keepLines w:val="0"/>
        <w:pageBreakBefore w:val="0"/>
        <w:widowControl/>
        <w:numPr>
          <w:ilvl w:val="0"/>
          <w:numId w:val="3"/>
        </w:numPr>
        <w:shd w:val="clear" w:color="auto" w:fill="FFFFFF"/>
        <w:kinsoku/>
        <w:wordWrap/>
        <w:overflowPunct/>
        <w:topLinePunct w:val="0"/>
        <w:bidi w:val="0"/>
        <w:spacing w:line="400" w:lineRule="exact"/>
        <w:ind w:firstLine="480" w:firstLineChars="20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地点：常州大学</w:t>
      </w:r>
      <w:r>
        <w:rPr>
          <w:rFonts w:hint="eastAsia" w:ascii="Times New Roman" w:hAnsi="Times New Roman" w:eastAsia="宋体" w:cs="Times New Roman"/>
          <w:color w:val="auto"/>
          <w:kern w:val="0"/>
          <w:sz w:val="24"/>
          <w:szCs w:val="24"/>
          <w:lang w:eastAsia="zh-CN"/>
        </w:rPr>
        <w:t>科教城校区北化大厦</w:t>
      </w:r>
      <w:r>
        <w:rPr>
          <w:rFonts w:hint="eastAsia" w:ascii="Times New Roman" w:hAnsi="Times New Roman" w:eastAsia="宋体" w:cs="Times New Roman"/>
          <w:color w:val="auto"/>
          <w:kern w:val="0"/>
          <w:sz w:val="24"/>
          <w:szCs w:val="24"/>
          <w:lang w:val="en-US" w:eastAsia="zh-CN"/>
        </w:rPr>
        <w:t>B座</w:t>
      </w:r>
      <w:r>
        <w:rPr>
          <w:rFonts w:hint="default" w:ascii="Times New Roman" w:hAnsi="Times New Roman" w:eastAsia="宋体" w:cs="Times New Roman"/>
          <w:color w:val="auto"/>
          <w:kern w:val="0"/>
          <w:sz w:val="24"/>
          <w:szCs w:val="24"/>
        </w:rPr>
        <w:t>。</w:t>
      </w:r>
    </w:p>
    <w:p>
      <w:pPr>
        <w:keepNext w:val="0"/>
        <w:keepLines w:val="0"/>
        <w:pageBreakBefore w:val="0"/>
        <w:widowControl/>
        <w:numPr>
          <w:ilvl w:val="0"/>
          <w:numId w:val="3"/>
        </w:numPr>
        <w:shd w:val="clear" w:color="auto" w:fill="FFFFFF"/>
        <w:kinsoku/>
        <w:wordWrap/>
        <w:overflowPunct/>
        <w:topLinePunct w:val="0"/>
        <w:bidi w:val="0"/>
        <w:spacing w:line="400" w:lineRule="exact"/>
        <w:ind w:firstLine="480" w:firstLineChars="20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项目概况：</w:t>
      </w:r>
      <w:r>
        <w:rPr>
          <w:rFonts w:hint="eastAsia" w:ascii="Times New Roman" w:hAnsi="Times New Roman" w:eastAsia="宋体" w:cs="Times New Roman"/>
          <w:color w:val="auto"/>
          <w:kern w:val="0"/>
          <w:sz w:val="24"/>
          <w:szCs w:val="24"/>
          <w:lang w:eastAsia="zh-CN"/>
        </w:rPr>
        <w:t>该项目为</w:t>
      </w:r>
      <w:r>
        <w:rPr>
          <w:rFonts w:hint="default" w:ascii="Times New Roman" w:hAnsi="Times New Roman" w:eastAsia="宋体" w:cs="Times New Roman"/>
          <w:color w:val="auto"/>
          <w:kern w:val="0"/>
          <w:sz w:val="24"/>
          <w:szCs w:val="24"/>
        </w:rPr>
        <w:t>常州大学</w:t>
      </w:r>
      <w:r>
        <w:rPr>
          <w:rFonts w:hint="eastAsia" w:ascii="Times New Roman" w:hAnsi="Times New Roman" w:eastAsia="宋体" w:cs="Times New Roman"/>
          <w:color w:val="auto"/>
          <w:kern w:val="0"/>
          <w:sz w:val="24"/>
          <w:szCs w:val="24"/>
          <w:lang w:eastAsia="zh-CN"/>
        </w:rPr>
        <w:t>科教城校区北化大厦</w:t>
      </w:r>
      <w:r>
        <w:rPr>
          <w:rFonts w:hint="eastAsia" w:ascii="Times New Roman" w:hAnsi="Times New Roman" w:eastAsia="宋体" w:cs="Times New Roman"/>
          <w:color w:val="auto"/>
          <w:kern w:val="0"/>
          <w:sz w:val="24"/>
          <w:szCs w:val="24"/>
          <w:lang w:val="en-US" w:eastAsia="zh-CN"/>
        </w:rPr>
        <w:t>B座二楼B211-B209及B207-B205实验室</w:t>
      </w:r>
      <w:r>
        <w:rPr>
          <w:rFonts w:hint="default" w:ascii="Times New Roman" w:hAnsi="Times New Roman" w:eastAsia="宋体" w:cs="Times New Roman"/>
          <w:color w:val="auto"/>
          <w:kern w:val="0"/>
          <w:sz w:val="24"/>
          <w:szCs w:val="24"/>
        </w:rPr>
        <w:t>实验台</w:t>
      </w:r>
      <w:r>
        <w:rPr>
          <w:rFonts w:hint="eastAsia" w:ascii="Times New Roman" w:hAnsi="Times New Roman" w:eastAsia="宋体" w:cs="Times New Roman"/>
          <w:color w:val="auto"/>
          <w:kern w:val="0"/>
          <w:sz w:val="24"/>
          <w:szCs w:val="24"/>
          <w:lang w:eastAsia="zh-CN"/>
        </w:rPr>
        <w:t>及通风柜采购及</w:t>
      </w:r>
      <w:r>
        <w:rPr>
          <w:rFonts w:hint="default" w:ascii="Times New Roman" w:hAnsi="Times New Roman" w:eastAsia="宋体" w:cs="Times New Roman"/>
          <w:color w:val="auto"/>
          <w:kern w:val="0"/>
          <w:sz w:val="24"/>
          <w:szCs w:val="24"/>
        </w:rPr>
        <w:t>安装项目，包含内容</w:t>
      </w:r>
      <w:r>
        <w:rPr>
          <w:rFonts w:hint="eastAsia" w:ascii="Times New Roman" w:hAnsi="Times New Roman" w:eastAsia="宋体" w:cs="Times New Roman"/>
          <w:color w:val="auto"/>
          <w:kern w:val="0"/>
          <w:sz w:val="24"/>
          <w:szCs w:val="24"/>
          <w:lang w:eastAsia="zh-CN"/>
        </w:rPr>
        <w:t>变风量通风柜，</w:t>
      </w:r>
      <w:r>
        <w:rPr>
          <w:rFonts w:hint="eastAsia" w:ascii="宋体" w:hAnsi="宋体" w:eastAsia="宋体" w:cs="宋体"/>
          <w:i w:val="0"/>
          <w:color w:val="000000"/>
          <w:kern w:val="0"/>
          <w:sz w:val="24"/>
          <w:szCs w:val="24"/>
          <w:u w:val="none"/>
          <w:lang w:val="en-US" w:eastAsia="zh-CN" w:bidi="ar"/>
        </w:rPr>
        <w:t>通风柜VAV变风量控制装置，</w:t>
      </w:r>
      <w:r>
        <w:rPr>
          <w:rFonts w:hint="default" w:ascii="Times New Roman" w:hAnsi="Times New Roman" w:eastAsia="宋体" w:cs="Times New Roman"/>
          <w:color w:val="auto"/>
          <w:kern w:val="0"/>
          <w:sz w:val="24"/>
          <w:szCs w:val="24"/>
        </w:rPr>
        <w:t>实验台，</w:t>
      </w:r>
      <w:r>
        <w:rPr>
          <w:rFonts w:hint="eastAsia" w:ascii="Times New Roman" w:hAnsi="Times New Roman" w:eastAsia="宋体" w:cs="Times New Roman"/>
          <w:color w:val="auto"/>
          <w:kern w:val="0"/>
          <w:sz w:val="24"/>
          <w:szCs w:val="24"/>
          <w:lang w:eastAsia="zh-CN"/>
        </w:rPr>
        <w:t>水槽台，</w:t>
      </w:r>
      <w:r>
        <w:rPr>
          <w:rFonts w:hint="default" w:ascii="Times New Roman" w:hAnsi="Times New Roman" w:eastAsia="宋体" w:cs="Times New Roman"/>
          <w:color w:val="auto"/>
          <w:kern w:val="0"/>
          <w:sz w:val="24"/>
          <w:szCs w:val="24"/>
        </w:rPr>
        <w:t>中央台</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中央台试剂架，</w:t>
      </w:r>
      <w:r>
        <w:rPr>
          <w:rFonts w:hint="eastAsia" w:ascii="宋体" w:hAnsi="宋体" w:eastAsia="宋体" w:cs="宋体"/>
          <w:i w:val="0"/>
          <w:color w:val="000000"/>
          <w:kern w:val="0"/>
          <w:sz w:val="24"/>
          <w:szCs w:val="24"/>
          <w:u w:val="none"/>
          <w:lang w:val="en-US" w:eastAsia="zh-CN" w:bidi="ar"/>
        </w:rPr>
        <w:t>全钢气瓶柜（带氢气报警）</w:t>
      </w:r>
      <w:r>
        <w:rPr>
          <w:rFonts w:hint="default" w:ascii="Times New Roman" w:hAnsi="Times New Roman" w:eastAsia="宋体" w:cs="Times New Roman"/>
          <w:color w:val="auto"/>
          <w:kern w:val="0"/>
          <w:sz w:val="24"/>
          <w:szCs w:val="24"/>
        </w:rPr>
        <w:t>采购与安装，具体详见采购清单和现场查看。。</w:t>
      </w:r>
    </w:p>
    <w:p>
      <w:pPr>
        <w:keepNext w:val="0"/>
        <w:keepLines w:val="0"/>
        <w:pageBreakBefore w:val="0"/>
        <w:widowControl/>
        <w:shd w:val="clear" w:color="auto" w:fill="FFFFFF"/>
        <w:kinsoku/>
        <w:wordWrap/>
        <w:overflowPunct/>
        <w:topLinePunct w:val="0"/>
        <w:bidi w:val="0"/>
        <w:spacing w:before="43" w:line="400" w:lineRule="exact"/>
        <w:ind w:firstLine="480" w:firstLineChars="200"/>
        <w:jc w:val="both"/>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rPr>
        <w:t>4、项目工期：</w:t>
      </w:r>
      <w:r>
        <w:rPr>
          <w:rFonts w:hint="default" w:ascii="Times New Roman" w:hAnsi="Times New Roman" w:eastAsia="宋体" w:cs="Times New Roman"/>
          <w:color w:val="auto"/>
          <w:kern w:val="0"/>
          <w:sz w:val="24"/>
          <w:szCs w:val="24"/>
          <w:lang w:val="en-US" w:eastAsia="zh-CN"/>
        </w:rPr>
        <w:t>自收到采购人发出开工指令后</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15</w:t>
      </w:r>
      <w:r>
        <w:rPr>
          <w:rFonts w:hint="default" w:ascii="Times New Roman" w:hAnsi="Times New Roman" w:eastAsia="宋体" w:cs="Times New Roman"/>
          <w:color w:val="auto"/>
          <w:kern w:val="0"/>
          <w:sz w:val="24"/>
          <w:szCs w:val="24"/>
          <w:lang w:val="en-US" w:eastAsia="zh-CN"/>
        </w:rPr>
        <w:t>天</w:t>
      </w:r>
      <w:r>
        <w:rPr>
          <w:rFonts w:hint="default" w:ascii="Times New Roman" w:hAnsi="Times New Roman" w:eastAsia="宋体" w:cs="Times New Roman"/>
          <w:color w:val="auto"/>
          <w:kern w:val="0"/>
          <w:sz w:val="24"/>
          <w:szCs w:val="24"/>
        </w:rPr>
        <w:t>内</w:t>
      </w:r>
      <w:r>
        <w:rPr>
          <w:rFonts w:hint="default" w:ascii="Times New Roman" w:hAnsi="Times New Roman" w:eastAsia="宋体" w:cs="Times New Roman"/>
          <w:color w:val="auto"/>
          <w:kern w:val="0"/>
          <w:sz w:val="24"/>
          <w:szCs w:val="24"/>
          <w:lang w:val="en-US" w:eastAsia="zh-CN"/>
        </w:rPr>
        <w:t>完成</w:t>
      </w:r>
      <w:r>
        <w:rPr>
          <w:rFonts w:hint="eastAsia" w:ascii="Times New Roman" w:hAnsi="Times New Roman" w:eastAsia="宋体" w:cs="Times New Roman"/>
          <w:color w:val="auto"/>
          <w:kern w:val="0"/>
          <w:sz w:val="24"/>
          <w:szCs w:val="24"/>
          <w:lang w:val="en-US" w:eastAsia="zh-CN"/>
        </w:rPr>
        <w:t>安装并</w:t>
      </w:r>
      <w:r>
        <w:rPr>
          <w:rFonts w:hint="default" w:ascii="Times New Roman" w:hAnsi="Times New Roman" w:eastAsia="宋体" w:cs="Times New Roman"/>
          <w:color w:val="auto"/>
          <w:kern w:val="0"/>
          <w:sz w:val="24"/>
          <w:szCs w:val="24"/>
          <w:lang w:val="en-US" w:eastAsia="zh-CN"/>
        </w:rPr>
        <w:t>验收通过</w:t>
      </w:r>
      <w:r>
        <w:rPr>
          <w:rFonts w:hint="default" w:ascii="Times New Roman" w:hAnsi="Times New Roman" w:eastAsia="宋体" w:cs="Times New Roman"/>
          <w:color w:val="auto"/>
          <w:kern w:val="0"/>
          <w:sz w:val="24"/>
          <w:szCs w:val="24"/>
        </w:rPr>
        <w:t>。</w:t>
      </w:r>
    </w:p>
    <w:p>
      <w:pPr>
        <w:keepNext w:val="0"/>
        <w:keepLines w:val="0"/>
        <w:pageBreakBefore w:val="0"/>
        <w:widowControl/>
        <w:numPr>
          <w:ilvl w:val="0"/>
          <w:numId w:val="2"/>
        </w:numPr>
        <w:shd w:val="clear" w:color="auto" w:fill="FFFFFF"/>
        <w:kinsoku/>
        <w:wordWrap/>
        <w:overflowPunct/>
        <w:topLinePunct w:val="0"/>
        <w:bidi w:val="0"/>
        <w:spacing w:line="400" w:lineRule="exact"/>
        <w:jc w:val="both"/>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本项目最高限价：</w:t>
      </w:r>
      <w:r>
        <w:rPr>
          <w:rFonts w:hint="eastAsia" w:ascii="Times New Roman" w:hAnsi="Times New Roman" w:eastAsia="宋体" w:cs="Times New Roman"/>
          <w:b/>
          <w:bCs/>
          <w:color w:val="auto"/>
          <w:kern w:val="0"/>
          <w:sz w:val="24"/>
          <w:szCs w:val="24"/>
          <w:lang w:val="en-US" w:eastAsia="zh-CN"/>
        </w:rPr>
        <w:t>17</w:t>
      </w:r>
      <w:r>
        <w:rPr>
          <w:rFonts w:hint="default" w:ascii="Times New Roman" w:hAnsi="Times New Roman" w:eastAsia="宋体" w:cs="Times New Roman"/>
          <w:b/>
          <w:bCs/>
          <w:color w:val="auto"/>
          <w:kern w:val="0"/>
          <w:sz w:val="24"/>
          <w:szCs w:val="24"/>
        </w:rPr>
        <w:t>万元</w:t>
      </w:r>
      <w:r>
        <w:rPr>
          <w:rFonts w:hint="default" w:ascii="Times New Roman" w:hAnsi="Times New Roman" w:eastAsia="宋体" w:cs="Times New Roman"/>
          <w:b/>
          <w:bCs/>
          <w:color w:val="auto"/>
          <w:kern w:val="0"/>
          <w:sz w:val="24"/>
          <w:szCs w:val="24"/>
          <w:lang w:eastAsia="zh-CN"/>
        </w:rPr>
        <w:t>（</w:t>
      </w:r>
      <w:r>
        <w:rPr>
          <w:rFonts w:hint="default" w:ascii="Times New Roman" w:hAnsi="Times New Roman" w:eastAsia="宋体" w:cs="Times New Roman"/>
          <w:b/>
          <w:bCs/>
          <w:color w:val="auto"/>
          <w:kern w:val="0"/>
          <w:sz w:val="24"/>
          <w:szCs w:val="24"/>
          <w:lang w:val="en-US" w:eastAsia="zh-CN"/>
        </w:rPr>
        <w:t>超过最高限价为无效投标</w:t>
      </w:r>
      <w:r>
        <w:rPr>
          <w:rFonts w:hint="default" w:ascii="Times New Roman" w:hAnsi="Times New Roman" w:eastAsia="宋体" w:cs="Times New Roman"/>
          <w:b/>
          <w:bCs/>
          <w:color w:val="auto"/>
          <w:kern w:val="0"/>
          <w:sz w:val="24"/>
          <w:szCs w:val="24"/>
          <w:lang w:eastAsia="zh-CN"/>
        </w:rPr>
        <w:t>）</w:t>
      </w:r>
    </w:p>
    <w:p>
      <w:pPr>
        <w:keepNext w:val="0"/>
        <w:keepLines w:val="0"/>
        <w:pageBreakBefore w:val="0"/>
        <w:widowControl/>
        <w:numPr>
          <w:ilvl w:val="0"/>
          <w:numId w:val="2"/>
        </w:numPr>
        <w:shd w:val="clear" w:color="auto" w:fill="FFFFFF"/>
        <w:kinsoku/>
        <w:wordWrap/>
        <w:overflowPunct/>
        <w:topLinePunct w:val="0"/>
        <w:bidi w:val="0"/>
        <w:spacing w:line="400" w:lineRule="exact"/>
        <w:jc w:val="both"/>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投标单位资质要求</w:t>
      </w:r>
      <w:r>
        <w:rPr>
          <w:rFonts w:hint="default" w:ascii="Times New Roman" w:hAnsi="Times New Roman" w:eastAsia="宋体" w:cs="Times New Roman"/>
          <w:b/>
          <w:bCs/>
          <w:color w:val="auto"/>
          <w:kern w:val="0"/>
          <w:sz w:val="24"/>
          <w:szCs w:val="24"/>
          <w:lang w:eastAsia="zh-CN"/>
        </w:rPr>
        <w:t>：</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1、具有独立承担民事责任的能力；</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2、具有良好的商业信誉和健全的财务会计制度；</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3、具有履行合同所必需的设备和专业技术能力；</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4、有依法缴纳税收和社会保障资金的良好记录；</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5、参加政府采购活动前三年内，在经营活动中没有重大违法记录；</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6、法律、行政法规规定的其他条件；</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7、未被“信用中国”网站（WWW.creditchina.gov.cn）或“中国政府采购网”网站（www.ccgp.gov.cn）列入失信被执行人、重大税收违法案件当事人名单、政府采购严重失信行为记录名单；</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8、单位负责人为同一人或者存在直接控股、管理关系的不同供应商（包含法定代表人为同一个人的两个及两个以上法人，母公司、全资子公司及其控股公司），不得参加同一合同项下的采购活动；</w:t>
      </w:r>
    </w:p>
    <w:p>
      <w:pPr>
        <w:keepNext w:val="0"/>
        <w:keepLines w:val="0"/>
        <w:pageBreakBefore w:val="0"/>
        <w:widowControl/>
        <w:shd w:val="clear" w:color="auto" w:fill="FFFFFF"/>
        <w:kinsoku/>
        <w:wordWrap/>
        <w:overflowPunct/>
        <w:topLinePunct w:val="0"/>
        <w:bidi w:val="0"/>
        <w:spacing w:before="29" w:line="400" w:lineRule="exact"/>
        <w:ind w:firstLine="480" w:firstLineChars="200"/>
        <w:jc w:val="both"/>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9</w:t>
      </w:r>
      <w:r>
        <w:rPr>
          <w:rFonts w:hint="default" w:ascii="Times New Roman" w:hAnsi="Times New Roman" w:eastAsia="宋体" w:cs="Times New Roman"/>
          <w:color w:val="0D0D0D" w:themeColor="text1" w:themeTint="F2"/>
          <w:kern w:val="0"/>
          <w:sz w:val="24"/>
          <w:szCs w:val="24"/>
          <w:lang w:eastAsia="zh-CN"/>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本次投标不接受联合体投标，中标后不容许分包、转包。</w:t>
      </w:r>
    </w:p>
    <w:p>
      <w:pPr>
        <w:pStyle w:val="10"/>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pStyle w:val="10"/>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pStyle w:val="10"/>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topLinePunct w:val="0"/>
        <w:bidi w:val="0"/>
        <w:spacing w:before="43" w:line="400" w:lineRule="exact"/>
        <w:jc w:val="both"/>
        <w:rPr>
          <w:rFonts w:hint="default"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pPr>
    </w:p>
    <w:p>
      <w:pPr>
        <w:keepNext w:val="0"/>
        <w:keepLines w:val="0"/>
        <w:pageBreakBefore w:val="0"/>
        <w:widowControl/>
        <w:numPr>
          <w:ilvl w:val="0"/>
          <w:numId w:val="2"/>
        </w:numPr>
        <w:shd w:val="clear" w:color="auto" w:fill="FFFFFF"/>
        <w:kinsoku/>
        <w:wordWrap/>
        <w:overflowPunct/>
        <w:topLinePunct w:val="0"/>
        <w:bidi w:val="0"/>
        <w:spacing w:before="43" w:line="400" w:lineRule="exact"/>
        <w:ind w:left="0" w:leftChars="0" w:firstLine="0" w:firstLineChars="0"/>
        <w:jc w:val="both"/>
        <w:rPr>
          <w:rFonts w:hint="default"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t>项目内容及要求：</w:t>
      </w:r>
    </w:p>
    <w:p>
      <w:pPr>
        <w:pStyle w:val="10"/>
        <w:numPr>
          <w:ilvl w:val="0"/>
          <w:numId w:val="4"/>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i w:val="0"/>
          <w:caps w:val="0"/>
          <w:color w:val="333333"/>
          <w:spacing w:val="0"/>
          <w:sz w:val="24"/>
          <w:szCs w:val="24"/>
          <w:shd w:val="clear" w:fill="FFFFFF"/>
        </w:rPr>
        <w:t>修改完善方案设计要求：中标单位收到中标通知后，3日内根据实验室现场实际情况及项目清单进行设计并出具详细设计方案图纸及效果图，甲方可以要求中标单位按照实际需要对方案及效果图做出调整，最终的方案及效果图须经甲方确认后才能根据方案及图纸进行施工，在施工期间主设计师需驻场跟踪服务。</w:t>
      </w:r>
    </w:p>
    <w:p>
      <w:pPr>
        <w:numPr>
          <w:ilvl w:val="0"/>
          <w:numId w:val="4"/>
        </w:numPr>
        <w:ind w:left="425" w:leftChars="0" w:hanging="425" w:firstLineChars="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主要技术指标：</w:t>
      </w:r>
    </w:p>
    <w:p>
      <w:pPr>
        <w:pStyle w:val="21"/>
        <w:numPr>
          <w:ilvl w:val="1"/>
          <w:numId w:val="4"/>
        </w:numPr>
        <w:rPr>
          <w:rFonts w:hint="eastAsia" w:ascii="宋体" w:hAnsi="宋体" w:cs="宋体"/>
          <w:color w:val="000000"/>
          <w:kern w:val="0"/>
          <w:sz w:val="24"/>
          <w:szCs w:val="24"/>
          <w:lang w:eastAsia="zh-CN" w:bidi="ar"/>
        </w:rPr>
      </w:pPr>
      <w:r>
        <w:rPr>
          <w:rFonts w:hint="eastAsia" w:ascii="宋体" w:hAnsi="宋体" w:eastAsia="宋体" w:cs="宋体"/>
          <w:color w:val="000000"/>
          <w:kern w:val="0"/>
          <w:sz w:val="24"/>
          <w:szCs w:val="24"/>
          <w:lang w:bidi="ar"/>
        </w:rPr>
        <w:t>变风量通风柜</w:t>
      </w:r>
      <w:r>
        <w:rPr>
          <w:rFonts w:hint="eastAsia" w:ascii="宋体" w:hAnsi="宋体" w:cs="宋体"/>
          <w:color w:val="000000"/>
          <w:kern w:val="0"/>
          <w:sz w:val="24"/>
          <w:szCs w:val="24"/>
          <w:lang w:eastAsia="zh-CN" w:bidi="ar"/>
        </w:rPr>
        <w:t>带水</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理化板台面技术参数：采用国内</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i w:val="0"/>
          <w:caps w:val="0"/>
          <w:color w:val="0C0C0C"/>
          <w:spacing w:val="0"/>
          <w:kern w:val="0"/>
          <w:sz w:val="24"/>
          <w:szCs w:val="24"/>
          <w:shd w:val="clear" w:fill="FFFFFF"/>
          <w:lang w:val="en-US" w:eastAsia="zh-CN" w:bidi="ar"/>
        </w:rPr>
        <w:t>12.7mm厚理化板台面，台面边缘用同质材料板双层加厚至</w:t>
      </w:r>
      <w:r>
        <w:rPr>
          <w:rFonts w:hint="eastAsia" w:ascii="宋体" w:hAnsi="宋体" w:eastAsia="宋体" w:cs="宋体"/>
          <w:i w:val="0"/>
          <w:caps w:val="0"/>
          <w:color w:val="333333"/>
          <w:spacing w:val="0"/>
          <w:sz w:val="24"/>
          <w:szCs w:val="24"/>
          <w:shd w:val="clear" w:fill="FFFFFF"/>
        </w:rPr>
        <w:t>25.4</w:t>
      </w:r>
      <w:r>
        <w:rPr>
          <w:rFonts w:hint="eastAsia" w:ascii="宋体" w:hAnsi="宋体" w:eastAsia="宋体" w:cs="宋体"/>
          <w:i w:val="0"/>
          <w:caps w:val="0"/>
          <w:color w:val="0C0C0C"/>
          <w:spacing w:val="0"/>
          <w:kern w:val="0"/>
          <w:sz w:val="24"/>
          <w:szCs w:val="24"/>
          <w:shd w:val="clear" w:fill="FFFFFF"/>
          <w:lang w:val="en-US" w:eastAsia="zh-CN" w:bidi="ar"/>
        </w:rPr>
        <w:t>mm</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0C0C0C"/>
          <w:spacing w:val="0"/>
          <w:kern w:val="0"/>
          <w:sz w:val="24"/>
          <w:szCs w:val="24"/>
          <w:shd w:val="clear" w:fill="FFFFFF"/>
          <w:lang w:val="en-US" w:eastAsia="zh-CN" w:bidi="ar"/>
        </w:rPr>
        <w:t>为了确保使用者的健康安全，产品需通过国家建筑材料测试中心或国家化学建筑材料测试中心、国家化学建材质量监督检验中心、SGS等知名检测机构检测，</w:t>
      </w:r>
      <w:r>
        <w:rPr>
          <w:rFonts w:hint="eastAsia" w:ascii="宋体" w:hAnsi="宋体" w:eastAsia="宋体" w:cs="宋体"/>
          <w:i w:val="0"/>
          <w:caps w:val="0"/>
          <w:color w:val="333333"/>
          <w:spacing w:val="0"/>
          <w:sz w:val="24"/>
          <w:szCs w:val="24"/>
          <w:shd w:val="clear" w:fill="FFFFFF"/>
        </w:rPr>
        <w:t>各项性能满足或优于如下要求：</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台面通过硫酸（98%）、硝酸（65%）、氢氧化钠（40%）、四氯化碳、松节油、乙腈等不少于125项酸、碱及其它化学试剂的检验结果为无明显变化。（响应文件中提供检查报告复印件加盖供应商公章）</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台面通过国家化学建筑材料测试中心或SGS等权威机构参照最新标准（GB 18580-2017）检测，检测结果为：甲醛释放量满足E1级≤0.124mg/M3技术限量要求。（响应文件中提供检查报告复印件加盖供应商公章）</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台面参照GB/T 2408-2021《塑料燃烧性能的测定 水平法和垂直法》和依据GB 8624-2012《建筑材料及制品燃烧性能分级》作为检测和判定依据进行检测，结果达B1级，烟气毒性项目符合t1级要求；水平燃烧符合HB级，垂直燃烧符合V-0级。（响应文件中提供检查报告复印件加盖供应商公章）</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台面依据HJ571-2010（环境标志产品技术要求 人造板及其制品）检测，总挥发性有机化合物TVOC（72h）释放量为未检出（≤0.02mg/m2*h）。（响应文件中提供检查报告复印件加盖供应商公章）</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台面依据GB6566-2010方法进行放射性测试，内、外照射检测值均≤0.1。（响应文件中提供检查报告复印件加盖供应商公章）</w:t>
      </w:r>
    </w:p>
    <w:p>
      <w:pPr>
        <w:pStyle w:val="1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shd w:val="clear" w:fill="FFFFFF"/>
        </w:rPr>
        <w:t>台面依据ISO 22196:2011或JC/T 2039-2010等方法检测抗菌性能：包含但不局限于：大肠杆菌、金黄色葡萄球菌、肺炎克雷伯氏菌、鼠伤寒沙门氏菌、表皮葡萄球菌、铜绿假单胞菌、宋氏志贺氏菌、白色葡萄球菌、粪肠球菌；耐甲氧西林金黄色葡萄球菌、枯草芽孢杆菌、变异库克菌、甲型溶血性链球菌、白色念珠菌、肠沙门氏菌肠亚种等不少于15种菌种检测，结果符合抗菌要求。（响应文件中提供检查报告复印件加盖供应商公章）</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0C0C0C"/>
          <w:spacing w:val="0"/>
          <w:kern w:val="0"/>
          <w:sz w:val="24"/>
          <w:szCs w:val="24"/>
          <w:shd w:val="clear" w:fill="FFFFFF"/>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调节门：为专用模具成型铝合金边框内嵌5mm安全玻璃，破裂不飞溅，配置500mm抬起限位，使视窗高度在操作人员的呼吸区以下，建立一个人员与柜体内有害物质的隔离区多方位保障实验室操作人员的安全。</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0C0C0C"/>
          <w:spacing w:val="0"/>
          <w:kern w:val="0"/>
          <w:sz w:val="24"/>
          <w:szCs w:val="24"/>
          <w:shd w:val="clear" w:fill="FFFFFF"/>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同步带：排风柜升降采用新型同步带，同步带内侧成人字齿状，使其与齿形带轮啮合，保障移门两侧同步滑动不偏移，从而保证同步带不脱轨、不跳齿、不与排风柜的固定件有摩擦产生噪音。移动平稳，上下滑动自如，噪音小，可停留在任意高度。新型同步带其抗拉强度达到200KG不断裂，其不仅可作为排风柜调节门升降的传动部件，而且可作为排风柜调节门升降的信号传输线。</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人字齿同步带轮：包括本体和设置在本体边缘上的轮齿，人字齿同步带轮承载能力大、运转平稳而且噪音小，用于通风柜上可实现透视窗平稳升降，从而提高实验室排风柜的实用性。</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照明：采用LED600*1200C 68W（322*0.2/LED模块），符合GB7000.201-2008+GB7000.1-2015标准，光度≥500LUX。</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防坠器：在左侧离台面200mm高的位置上加装的安全装置，能防止移门坠落产生的不良后果。</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模块化内胆设计，根据实验需求可选抗倍特、陶瓷、PP、理化板、玻璃等材质，适用不同的实验环境。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侧前立柱：使用6063-T5国标铝锭经专业模具拉伸成型，环氧树脂喷涂粉末喷涂，涂层厚度 ≥75μm，抗腐蚀、表面光滑均匀、色泽一致。</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C0C0C"/>
          <w:spacing w:val="0"/>
          <w:kern w:val="0"/>
          <w:sz w:val="24"/>
          <w:szCs w:val="24"/>
          <w:shd w:val="clear" w:fill="FFFFFF"/>
          <w:lang w:val="en-US" w:eastAsia="zh-CN" w:bidi="ar"/>
        </w:rPr>
        <w:t>插座：10A五孔插座。</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default" w:ascii="宋体" w:hAnsi="宋体" w:cs="宋体"/>
          <w:color w:val="000000"/>
          <w:kern w:val="0"/>
          <w:sz w:val="24"/>
          <w:szCs w:val="24"/>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排风柜下部由1.5mm厚方管作为加固及承接台面，下柜采用模具成型2.0mm厚五节转轴304不锈钢合页，拉手为铝合金一体成型拉手。</w:t>
      </w:r>
    </w:p>
    <w:p>
      <w:pPr>
        <w:pStyle w:val="21"/>
        <w:numPr>
          <w:ilvl w:val="1"/>
          <w:numId w:val="4"/>
        </w:numP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通风柜VAV变风量控制装置</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0C0C0C"/>
          <w:spacing w:val="0"/>
          <w:kern w:val="0"/>
          <w:sz w:val="24"/>
          <w:szCs w:val="24"/>
          <w:shd w:val="clear" w:fill="FFFFFF"/>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变风量控制系统应采用优质原装成套产品，包括传感器、控制器、控制模块、变风量阀门等均应采用同一厂家同一品牌产品，以保持控制完整性以及维护可靠性。不允许厂家之外的供应商更换及组合系统内产品。</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Style w:val="19"/>
          <w:rFonts w:hint="eastAsia" w:ascii="宋体" w:hAnsi="宋体" w:eastAsia="宋体" w:cs="宋体"/>
          <w:i w:val="0"/>
          <w:caps w:val="0"/>
          <w:color w:val="0C0C0C"/>
          <w:spacing w:val="0"/>
          <w:kern w:val="0"/>
          <w:sz w:val="24"/>
          <w:szCs w:val="24"/>
          <w:shd w:val="clear" w:fill="FFFFFF"/>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通风柜蝶阀风速控制系统：采用位移与面风速调节系统，调节窗动作时，由位移传感器</w:t>
      </w:r>
      <w:r>
        <w:rPr>
          <w:rFonts w:hint="default" w:ascii="Times New Roman" w:hAnsi="Times New Roman" w:eastAsia="宋体" w:cs="Times New Roman"/>
          <w:i w:val="0"/>
          <w:caps w:val="0"/>
          <w:color w:val="0C0C0C"/>
          <w:spacing w:val="0"/>
          <w:kern w:val="0"/>
          <w:sz w:val="24"/>
          <w:szCs w:val="24"/>
          <w:shd w:val="clear" w:fill="FFFFFF"/>
          <w:lang w:val="en-US" w:eastAsia="zh-CN" w:bidi="ar"/>
        </w:rPr>
        <w:t>1.5</w:t>
      </w:r>
      <w:r>
        <w:rPr>
          <w:rFonts w:hint="eastAsia" w:ascii="宋体" w:hAnsi="宋体" w:eastAsia="宋体" w:cs="宋体"/>
          <w:i w:val="0"/>
          <w:caps w:val="0"/>
          <w:color w:val="0C0C0C"/>
          <w:spacing w:val="0"/>
          <w:kern w:val="0"/>
          <w:sz w:val="24"/>
          <w:szCs w:val="24"/>
          <w:shd w:val="clear" w:fill="FFFFFF"/>
          <w:lang w:val="en-US" w:eastAsia="zh-CN" w:bidi="ar"/>
        </w:rPr>
        <w:t>秒内迅速调节高速蝶阀至标定风量，稳定后转为面风速微调以控制面风速扰流，实测面风速值。每台通风柜配置一套高品质</w:t>
      </w:r>
      <w:r>
        <w:rPr>
          <w:rFonts w:hint="default" w:ascii="Times New Roman" w:hAnsi="Times New Roman" w:eastAsia="宋体" w:cs="Times New Roman"/>
          <w:i w:val="0"/>
          <w:caps w:val="0"/>
          <w:color w:val="0C0C0C"/>
          <w:spacing w:val="0"/>
          <w:kern w:val="0"/>
          <w:sz w:val="24"/>
          <w:szCs w:val="24"/>
          <w:shd w:val="clear" w:fill="FFFFFF"/>
          <w:lang w:val="en-US" w:eastAsia="zh-CN" w:bidi="ar"/>
        </w:rPr>
        <w:t>VAV</w:t>
      </w:r>
      <w:r>
        <w:rPr>
          <w:rFonts w:hint="eastAsia" w:ascii="宋体" w:hAnsi="宋体" w:eastAsia="宋体" w:cs="宋体"/>
          <w:i w:val="0"/>
          <w:caps w:val="0"/>
          <w:color w:val="0C0C0C"/>
          <w:spacing w:val="0"/>
          <w:kern w:val="0"/>
          <w:sz w:val="24"/>
          <w:szCs w:val="24"/>
          <w:shd w:val="clear" w:fill="FFFFFF"/>
          <w:lang w:val="en-US" w:eastAsia="zh-CN" w:bidi="ar"/>
        </w:rPr>
        <w:t>控制系统。该控制系统保证通风柜调节门在任意位置下通风柜面风速在</w:t>
      </w:r>
      <w:r>
        <w:rPr>
          <w:rFonts w:hint="default" w:ascii="Times New Roman" w:hAnsi="Times New Roman" w:eastAsia="宋体" w:cs="Times New Roman"/>
          <w:i w:val="0"/>
          <w:caps w:val="0"/>
          <w:color w:val="0C0C0C"/>
          <w:spacing w:val="0"/>
          <w:kern w:val="0"/>
          <w:sz w:val="24"/>
          <w:szCs w:val="24"/>
          <w:shd w:val="clear" w:fill="FFFFFF"/>
          <w:lang w:val="en-US" w:eastAsia="zh-CN" w:bidi="ar"/>
        </w:rPr>
        <w:t>1.5</w:t>
      </w:r>
      <w:r>
        <w:rPr>
          <w:rFonts w:hint="eastAsia" w:ascii="宋体" w:hAnsi="宋体" w:eastAsia="宋体" w:cs="宋体"/>
          <w:i w:val="0"/>
          <w:caps w:val="0"/>
          <w:color w:val="0C0C0C"/>
          <w:spacing w:val="0"/>
          <w:kern w:val="0"/>
          <w:sz w:val="24"/>
          <w:szCs w:val="24"/>
          <w:shd w:val="clear" w:fill="FFFFFF"/>
          <w:lang w:val="en-US" w:eastAsia="zh-CN" w:bidi="ar"/>
        </w:rPr>
        <w:t>秒内迅速稳定到设定值，一般为</w:t>
      </w:r>
      <w:r>
        <w:rPr>
          <w:rFonts w:hint="default" w:ascii="Times New Roman" w:hAnsi="Times New Roman" w:eastAsia="宋体" w:cs="Times New Roman"/>
          <w:i w:val="0"/>
          <w:caps w:val="0"/>
          <w:color w:val="0C0C0C"/>
          <w:spacing w:val="0"/>
          <w:kern w:val="0"/>
          <w:sz w:val="24"/>
          <w:szCs w:val="24"/>
          <w:shd w:val="clear" w:fill="FFFFFF"/>
          <w:lang w:val="en-US" w:eastAsia="zh-CN" w:bidi="ar"/>
        </w:rPr>
        <w:t>0.5m/s</w:t>
      </w:r>
      <w:r>
        <w:rPr>
          <w:rFonts w:hint="eastAsia" w:ascii="宋体" w:hAnsi="宋体" w:eastAsia="宋体" w:cs="宋体"/>
          <w:i w:val="0"/>
          <w:caps w:val="0"/>
          <w:color w:val="0C0C0C"/>
          <w:spacing w:val="0"/>
          <w:kern w:val="0"/>
          <w:sz w:val="24"/>
          <w:szCs w:val="24"/>
          <w:shd w:val="clear" w:fill="FFFFFF"/>
          <w:lang w:val="en-US" w:eastAsia="zh-CN" w:bidi="ar"/>
        </w:rPr>
        <w:t>。该系统的应包括如下产品：一个面风速传感器、一个调节窗位移传感器，一个防腐型变风量高速蝶阀、一个</w:t>
      </w:r>
      <w:r>
        <w:rPr>
          <w:rFonts w:hint="default" w:ascii="Times New Roman" w:hAnsi="Times New Roman" w:eastAsia="宋体" w:cs="Times New Roman"/>
          <w:i w:val="0"/>
          <w:caps w:val="0"/>
          <w:color w:val="0C0C0C"/>
          <w:spacing w:val="0"/>
          <w:kern w:val="0"/>
          <w:sz w:val="24"/>
          <w:szCs w:val="24"/>
          <w:shd w:val="clear" w:fill="FFFFFF"/>
          <w:lang w:val="en-US" w:eastAsia="zh-CN" w:bidi="ar"/>
        </w:rPr>
        <w:t>OLED(</w:t>
      </w:r>
      <w:r>
        <w:rPr>
          <w:rFonts w:hint="eastAsia" w:ascii="宋体" w:hAnsi="宋体" w:eastAsia="宋体" w:cs="宋体"/>
          <w:i w:val="0"/>
          <w:caps w:val="0"/>
          <w:color w:val="0C0C0C"/>
          <w:spacing w:val="0"/>
          <w:kern w:val="0"/>
          <w:sz w:val="24"/>
          <w:szCs w:val="24"/>
          <w:shd w:val="clear" w:fill="FFFFFF"/>
          <w:lang w:val="en-US" w:eastAsia="zh-CN" w:bidi="ar"/>
        </w:rPr>
        <w:t>或液晶</w:t>
      </w:r>
      <w:r>
        <w:rPr>
          <w:rFonts w:hint="default" w:ascii="Times New Roman" w:hAnsi="Times New Roman" w:eastAsia="宋体" w:cs="Times New Roman"/>
          <w:i w:val="0"/>
          <w:caps w:val="0"/>
          <w:color w:val="0C0C0C"/>
          <w:spacing w:val="0"/>
          <w:kern w:val="0"/>
          <w:sz w:val="24"/>
          <w:szCs w:val="24"/>
          <w:shd w:val="clear" w:fill="FFFFFF"/>
          <w:lang w:val="en-US" w:eastAsia="zh-CN" w:bidi="ar"/>
        </w:rPr>
        <w:t>)</w:t>
      </w:r>
      <w:r>
        <w:rPr>
          <w:rFonts w:hint="eastAsia" w:ascii="宋体" w:hAnsi="宋体" w:eastAsia="宋体" w:cs="宋体"/>
          <w:i w:val="0"/>
          <w:caps w:val="0"/>
          <w:color w:val="0C0C0C"/>
          <w:spacing w:val="0"/>
          <w:kern w:val="0"/>
          <w:sz w:val="24"/>
          <w:szCs w:val="24"/>
          <w:shd w:val="clear" w:fill="FFFFFF"/>
          <w:lang w:val="en-US" w:eastAsia="zh-CN" w:bidi="ar"/>
        </w:rPr>
        <w:t>显示控制面板、一个电源保护模块、一个有人无人传感器。以上系统具有以下功能特性：自动调节以恒定不同状态下的安全面风速设定要求。不安全的条件下，声音及显示报警。支持实测面风速并数字显示面风速值。支持显示当前变风量阀门状态以提醒用户通风柜使用状态。支持最大风量紧急排放功能键。</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b w:val="0"/>
          <w:bCs w:val="0"/>
          <w:i w:val="0"/>
          <w:caps w:val="0"/>
          <w:color w:val="666666"/>
          <w:spacing w:val="0"/>
          <w:sz w:val="24"/>
          <w:szCs w:val="24"/>
        </w:rPr>
      </w:pPr>
      <w:r>
        <w:rPr>
          <w:rStyle w:val="19"/>
          <w:rFonts w:hint="eastAsia" w:ascii="宋体" w:hAnsi="宋体" w:eastAsia="宋体" w:cs="宋体"/>
          <w:b w:val="0"/>
          <w:bCs w:val="0"/>
          <w:i w:val="0"/>
          <w:caps w:val="0"/>
          <w:color w:val="0C0C0C"/>
          <w:spacing w:val="0"/>
          <w:kern w:val="0"/>
          <w:sz w:val="24"/>
          <w:szCs w:val="24"/>
          <w:shd w:val="clear" w:fill="FFFFFF"/>
          <w:lang w:val="en-US" w:eastAsia="zh-CN" w:bidi="ar"/>
        </w:rPr>
        <w:t>参与投标的供应商须提供以下第三方检测报告：</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b/>
          <w:bCs/>
          <w:i w:val="0"/>
          <w:caps w:val="0"/>
          <w:color w:val="666666"/>
          <w:spacing w:val="0"/>
          <w:sz w:val="24"/>
          <w:szCs w:val="24"/>
        </w:rPr>
      </w:pPr>
      <w:r>
        <w:rPr>
          <w:rStyle w:val="19"/>
          <w:rFonts w:hint="eastAsia" w:ascii="宋体" w:hAnsi="宋体" w:eastAsia="宋体" w:cs="宋体"/>
          <w:b/>
          <w:bCs/>
          <w:i w:val="0"/>
          <w:caps w:val="0"/>
          <w:color w:val="0C0C0C"/>
          <w:spacing w:val="0"/>
          <w:kern w:val="0"/>
          <w:sz w:val="24"/>
          <w:szCs w:val="24"/>
          <w:shd w:val="clear" w:fill="FFFFFF"/>
          <w:lang w:val="en-US" w:eastAsia="zh-CN" w:bidi="ar"/>
        </w:rPr>
        <w:t>需要提供符合CNAS认证的第三方检测机构提供的通过ASHRAE-110-2016检测报告，报告中须包括如下指标：面风速试验最大，最小，算数平均值偏差小于15%；响应时间小于3秒；六氟化硫示踪气体泄露浓度小于0.5ppm；以上关键指标都合格的检测报告。</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b/>
          <w:bCs/>
          <w:i w:val="0"/>
          <w:caps w:val="0"/>
          <w:color w:val="666666"/>
          <w:spacing w:val="0"/>
          <w:sz w:val="24"/>
          <w:szCs w:val="24"/>
        </w:rPr>
      </w:pPr>
      <w:r>
        <w:rPr>
          <w:rStyle w:val="19"/>
          <w:rFonts w:hint="eastAsia" w:ascii="宋体" w:hAnsi="宋体" w:eastAsia="宋体" w:cs="宋体"/>
          <w:b/>
          <w:bCs/>
          <w:i w:val="0"/>
          <w:caps w:val="0"/>
          <w:color w:val="0C0C0C"/>
          <w:spacing w:val="0"/>
          <w:kern w:val="0"/>
          <w:sz w:val="24"/>
          <w:szCs w:val="24"/>
          <w:shd w:val="clear" w:fill="FFFFFF"/>
          <w:lang w:val="en-US" w:eastAsia="zh-CN" w:bidi="ar"/>
        </w:rPr>
        <w:t>需要提供第三方检测机构符合GB/T2423.1-2008 ,GB/T2423.2-2008高低温测试的检测报告。</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default" w:ascii="宋体" w:hAnsi="宋体" w:eastAsia="宋体" w:cs="宋体"/>
          <w:b/>
          <w:bCs/>
          <w:color w:val="000000"/>
          <w:kern w:val="0"/>
          <w:sz w:val="24"/>
          <w:szCs w:val="24"/>
          <w:lang w:val="en-US" w:eastAsia="zh-CN" w:bidi="ar"/>
        </w:rPr>
      </w:pPr>
      <w:r>
        <w:rPr>
          <w:rStyle w:val="19"/>
          <w:rFonts w:hint="eastAsia" w:ascii="宋体" w:hAnsi="宋体" w:eastAsia="宋体" w:cs="宋体"/>
          <w:b/>
          <w:bCs/>
          <w:i w:val="0"/>
          <w:caps w:val="0"/>
          <w:color w:val="0C0C0C"/>
          <w:spacing w:val="0"/>
          <w:kern w:val="0"/>
          <w:sz w:val="24"/>
          <w:szCs w:val="24"/>
          <w:shd w:val="clear" w:fill="FFFFFF"/>
          <w:lang w:val="en-US" w:eastAsia="zh-CN" w:bidi="ar"/>
        </w:rPr>
        <w:t>通风柜变风量控制系统各元器件，</w:t>
      </w:r>
      <w:r>
        <w:rPr>
          <w:rStyle w:val="19"/>
          <w:rFonts w:hint="eastAsia" w:ascii="宋体" w:hAnsi="宋体" w:eastAsia="宋体" w:cs="宋体"/>
          <w:b/>
          <w:bCs/>
          <w:i w:val="0"/>
          <w:caps w:val="0"/>
          <w:color w:val="0C0C0C"/>
          <w:spacing w:val="0"/>
          <w:kern w:val="0"/>
          <w:sz w:val="24"/>
          <w:szCs w:val="24"/>
          <w:shd w:val="clear" w:fill="FFFFFF"/>
          <w:lang w:val="en-US" w:eastAsia="zh-Hans" w:bidi="ar"/>
        </w:rPr>
        <w:t>其中</w:t>
      </w:r>
      <w:r>
        <w:rPr>
          <w:rStyle w:val="19"/>
          <w:rFonts w:hint="eastAsia" w:ascii="宋体" w:hAnsi="宋体" w:eastAsia="宋体" w:cs="宋体"/>
          <w:b/>
          <w:bCs/>
          <w:i w:val="0"/>
          <w:caps w:val="0"/>
          <w:color w:val="0C0C0C"/>
          <w:spacing w:val="0"/>
          <w:kern w:val="0"/>
          <w:sz w:val="24"/>
          <w:szCs w:val="24"/>
          <w:shd w:val="clear" w:fill="FFFFFF"/>
          <w:lang w:val="en-US" w:eastAsia="zh-CN" w:bidi="ar"/>
        </w:rPr>
        <w:t>通风柜监控器、面风速传感器、位移传感器、变风量高速蝶阀均应具备CE认证报告，</w:t>
      </w: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实验台、</w:t>
      </w:r>
      <w:r>
        <w:rPr>
          <w:rFonts w:hint="eastAsia" w:hAnsi="宋体" w:cs="宋体"/>
          <w:color w:val="000000"/>
          <w:kern w:val="0"/>
          <w:sz w:val="24"/>
          <w:szCs w:val="24"/>
          <w:lang w:val="en-US" w:eastAsia="zh-CN" w:bidi="ar"/>
        </w:rPr>
        <w:t>水槽台</w:t>
      </w:r>
      <w:r>
        <w:rPr>
          <w:rFonts w:hint="eastAsia" w:ascii="宋体" w:hAnsi="宋体" w:eastAsia="宋体" w:cs="宋体"/>
          <w:color w:val="000000"/>
          <w:kern w:val="0"/>
          <w:sz w:val="24"/>
          <w:szCs w:val="24"/>
          <w:lang w:val="en-US" w:eastAsia="zh-CN" w:bidi="ar"/>
        </w:rPr>
        <w:t>、</w:t>
      </w:r>
      <w:r>
        <w:rPr>
          <w:rFonts w:hint="eastAsia" w:hAnsi="宋体" w:cs="宋体"/>
          <w:color w:val="000000"/>
          <w:kern w:val="0"/>
          <w:sz w:val="24"/>
          <w:szCs w:val="24"/>
          <w:lang w:val="en-US" w:eastAsia="zh-CN" w:bidi="ar"/>
        </w:rPr>
        <w:t>中央台</w:t>
      </w:r>
      <w:r>
        <w:rPr>
          <w:rFonts w:hint="eastAsia" w:ascii="宋体" w:hAnsi="宋体" w:eastAsia="宋体" w:cs="宋体"/>
          <w:color w:val="000000"/>
          <w:kern w:val="0"/>
          <w:sz w:val="24"/>
          <w:szCs w:val="24"/>
          <w:lang w:val="en-US" w:eastAsia="zh-CN" w:bidi="ar"/>
        </w:rPr>
        <w:t>：</w:t>
      </w:r>
    </w:p>
    <w:p>
      <w:pPr>
        <w:pStyle w:val="21"/>
        <w:numPr>
          <w:ilvl w:val="0"/>
          <w:numId w:val="0"/>
        </w:numPr>
        <w:ind w:leftChars="0"/>
        <w:rPr>
          <w:rFonts w:hint="eastAsia" w:ascii="宋体" w:hAnsi="宋体" w:eastAsia="宋体" w:cs="宋体"/>
          <w:color w:val="000000"/>
          <w:kern w:val="0"/>
          <w:sz w:val="24"/>
          <w:szCs w:val="24"/>
          <w:lang w:val="en-US" w:eastAsia="zh-CN" w:bidi="ar"/>
        </w:rPr>
      </w:pPr>
      <w:r>
        <w:drawing>
          <wp:inline distT="0" distB="0" distL="114300" distR="114300">
            <wp:extent cx="5723890" cy="3220085"/>
            <wp:effectExtent l="0" t="0" r="635" b="8890"/>
            <wp:docPr id="2" name="图片 2" descr="4d43b63a47703bede47a4d2e803d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43b63a47703bede47a4d2e803d32a"/>
                    <pic:cNvPicPr>
                      <a:picLocks noChangeAspect="1"/>
                    </pic:cNvPicPr>
                  </pic:nvPicPr>
                  <pic:blipFill>
                    <a:blip r:embed="rId4"/>
                    <a:stretch>
                      <a:fillRect/>
                    </a:stretch>
                  </pic:blipFill>
                  <pic:spPr>
                    <a:xfrm>
                      <a:off x="0" y="0"/>
                      <a:ext cx="5723890" cy="3220085"/>
                    </a:xfrm>
                    <a:prstGeom prst="rect">
                      <a:avLst/>
                    </a:prstGeom>
                  </pic:spPr>
                </pic:pic>
              </a:graphicData>
            </a:graphic>
          </wp:inline>
        </w:drawing>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0C0C0C"/>
          <w:spacing w:val="0"/>
          <w:sz w:val="24"/>
          <w:szCs w:val="24"/>
          <w:shd w:val="clear" w:fill="FFFFFF"/>
        </w:rPr>
      </w:pPr>
      <w:r>
        <w:rPr>
          <w:rFonts w:hint="eastAsia" w:ascii="宋体" w:hAnsi="宋体" w:eastAsia="宋体" w:cs="宋体"/>
          <w:i w:val="0"/>
          <w:caps w:val="0"/>
          <w:color w:val="333333"/>
          <w:spacing w:val="0"/>
          <w:sz w:val="24"/>
          <w:szCs w:val="24"/>
          <w:shd w:val="clear" w:fill="FFFFFF"/>
        </w:rPr>
        <w:t>台面：采用国内</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i w:val="0"/>
          <w:caps w:val="0"/>
          <w:color w:val="333333"/>
          <w:spacing w:val="0"/>
          <w:sz w:val="24"/>
          <w:szCs w:val="24"/>
          <w:shd w:val="clear" w:fill="FFFFFF"/>
        </w:rPr>
        <w:t>12.7mm厚理化板台面，台面边缘用同质材料板双层加厚至25.4mm。为了确保使用者的健康安全，产品须通过国家建筑材料测试中心或国家化学建筑材料测试中心、国家化学建材质量监督检验中心、SGS等知名检测机构检测，</w:t>
      </w:r>
      <w:r>
        <w:rPr>
          <w:rFonts w:hint="eastAsia" w:ascii="宋体" w:hAnsi="宋体" w:eastAsia="宋体" w:cs="宋体"/>
          <w:i w:val="0"/>
          <w:caps w:val="0"/>
          <w:color w:val="0C0C0C"/>
          <w:spacing w:val="0"/>
          <w:sz w:val="24"/>
          <w:szCs w:val="24"/>
          <w:shd w:val="clear" w:fill="FFFFFF"/>
        </w:rPr>
        <w:t>各项性能满足或优于</w:t>
      </w:r>
      <w:r>
        <w:rPr>
          <w:rFonts w:hint="eastAsia" w:ascii="Times New Roman" w:hAnsi="Times New Roman" w:eastAsia="宋体" w:cs="Times New Roman"/>
          <w:i w:val="0"/>
          <w:caps w:val="0"/>
          <w:color w:val="0C0C0C"/>
          <w:spacing w:val="0"/>
          <w:sz w:val="24"/>
          <w:szCs w:val="24"/>
          <w:shd w:val="clear" w:fill="FFFFFF"/>
          <w:lang w:val="en-US" w:eastAsia="zh-CN"/>
        </w:rPr>
        <w:t>2.1</w:t>
      </w:r>
      <w:r>
        <w:rPr>
          <w:rFonts w:hint="eastAsia" w:ascii="宋体" w:hAnsi="宋体" w:eastAsia="宋体" w:cs="宋体"/>
          <w:i w:val="0"/>
          <w:caps w:val="0"/>
          <w:color w:val="0C0C0C"/>
          <w:spacing w:val="0"/>
          <w:sz w:val="24"/>
          <w:szCs w:val="24"/>
          <w:shd w:val="clear" w:fill="FFFFFF"/>
        </w:rPr>
        <w:t>台面要求。</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hanging="425" w:firstLineChars="0"/>
        <w:jc w:val="left"/>
        <w:rPr>
          <w:rFonts w:hint="eastAsia" w:ascii="宋体" w:hAnsi="宋体" w:eastAsia="宋体" w:cs="宋体"/>
          <w:i w:val="0"/>
          <w:caps w:val="0"/>
          <w:color w:val="0C0C0C"/>
          <w:spacing w:val="0"/>
          <w:kern w:val="0"/>
          <w:sz w:val="24"/>
          <w:szCs w:val="24"/>
          <w:shd w:val="clear" w:fill="FFFFFF"/>
          <w:lang w:val="en-US" w:eastAsia="zh-CN" w:bidi="ar"/>
        </w:rPr>
      </w:pPr>
      <w:r>
        <w:rPr>
          <w:rFonts w:hint="eastAsia" w:ascii="宋体" w:hAnsi="宋体" w:eastAsia="宋体" w:cs="宋体"/>
          <w:i w:val="0"/>
          <w:caps w:val="0"/>
          <w:color w:val="0C0C0C"/>
          <w:spacing w:val="0"/>
          <w:kern w:val="0"/>
          <w:sz w:val="24"/>
          <w:szCs w:val="24"/>
          <w:shd w:val="clear" w:fill="FFFFFF"/>
          <w:lang w:val="en-US" w:eastAsia="zh-CN" w:bidi="ar"/>
        </w:rPr>
        <w:t>实验台柜体：</w:t>
      </w:r>
    </w:p>
    <w:p>
      <w:pPr>
        <w:numPr>
          <w:ilvl w:val="0"/>
          <w:numId w:val="7"/>
        </w:numPr>
        <w:spacing w:line="240" w:lineRule="auto"/>
        <w:ind w:left="425" w:leftChars="0" w:hanging="425" w:firstLineChars="0"/>
        <w:rPr>
          <w:rFonts w:hint="eastAsia" w:ascii="宋体" w:hAnsi="宋体" w:eastAsia="宋体" w:cs="宋体"/>
          <w:sz w:val="24"/>
          <w:szCs w:val="24"/>
        </w:rPr>
      </w:pPr>
      <w:r>
        <w:rPr>
          <w:rFonts w:hint="eastAsia" w:ascii="宋体" w:hAnsi="宋体" w:eastAsia="宋体" w:cs="宋体"/>
          <w:i w:val="0"/>
          <w:caps w:val="0"/>
          <w:color w:val="0C0C0C"/>
          <w:spacing w:val="0"/>
          <w:kern w:val="0"/>
          <w:sz w:val="24"/>
          <w:szCs w:val="24"/>
          <w:shd w:val="clear" w:fill="FFFFFF"/>
          <w:lang w:val="en-US" w:eastAsia="zh-CN" w:bidi="ar"/>
        </w:rPr>
        <w:t>边台采用C型钢架结构。框架：主框架采用产优质方形钢管，截面为40mm*60mm，厚度1.5mm以上。表面经酸洗、磷化、均匀静电喷涂环氧树脂粉末，化学防锈处理，耐酸碱防腐蚀，承重性能好。冷轧钢板在制作完成后，在预处理中包括步骤：清洁剂、雾化剂喷涂、水冲洗、钝化密封材料喷涂、预处理后的钢制品在干燥炉中干燥并冷却；冷却后的钢制品送到喷粉室中进行内外喷粉，其厚度最少为1.5mils；完成底层喷粉的钢制品马上送入高温恒温箱中进行研磨和化学处理，以适用于实验室环境使用。以C型架作为它的主要支撑结构，承重250kg/m2，柜体悬吊于其上，可以自由拆卸、组合。涂层厚度：所有的实验台的钢板表面经环氧树脂静电粉末喷涂，喷涂均匀，厚度不低于50μm(</w:t>
      </w:r>
      <w:r>
        <w:rPr>
          <w:rFonts w:hint="eastAsia" w:ascii="宋体" w:hAnsi="宋体" w:eastAsia="宋体" w:cs="宋体"/>
          <w:sz w:val="24"/>
          <w:szCs w:val="24"/>
        </w:rPr>
        <w:t>柜体、抽屉、门板、抽面、层板经进口热熔粒籽胶及2mm厚的进口PVC防水封边处理。所有板件三合一连接，结构稳固，承重性能好且易于拆卸，利于在实验室这个特殊的工作环境中使用。层板：采用优质环保E1级18mm厚的标准三聚氰胺板，外贴防火板；层板多层可调节。</w:t>
      </w:r>
    </w:p>
    <w:p>
      <w:pPr>
        <w:numPr>
          <w:ilvl w:val="0"/>
          <w:numId w:val="7"/>
        </w:numPr>
        <w:spacing w:line="24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调节脚：螺杆采用Φ12mm（含）以上镀锌钢材制作，并具有高17mm，长30mm（含）以上六角型PVC防水底垫，可根据室内地坪适当调整柜体高度，有效调整高度为20mm（含）以上。承重、防潮、防滑、减震、抑菌、耐腐蚀，外形美观，设计人性化，保证整个柜体水平良好，加工工艺优良，确保产品质量良好。</w:t>
      </w:r>
    </w:p>
    <w:p>
      <w:pPr>
        <w:numPr>
          <w:ilvl w:val="0"/>
          <w:numId w:val="7"/>
        </w:numPr>
        <w:spacing w:line="24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五金配件</w:t>
      </w:r>
      <w:r>
        <w:rPr>
          <w:rFonts w:hint="eastAsia" w:ascii="宋体" w:hAnsi="宋体" w:eastAsia="宋体" w:cs="宋体"/>
          <w:sz w:val="24"/>
          <w:szCs w:val="24"/>
          <w:lang w:val="en-US" w:eastAsia="zh-CN"/>
        </w:rPr>
        <w:t>:</w:t>
      </w:r>
    </w:p>
    <w:p>
      <w:pPr>
        <w:numPr>
          <w:ilvl w:val="0"/>
          <w:numId w:val="7"/>
        </w:numPr>
        <w:spacing w:line="24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拉手：PVC一字型长条拉手。</w:t>
      </w:r>
    </w:p>
    <w:p>
      <w:pPr>
        <w:numPr>
          <w:ilvl w:val="0"/>
          <w:numId w:val="7"/>
        </w:numPr>
        <w:spacing w:line="24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铰链：自动型110°不锈钢铰链，开合达八万次以上，达到国际五金行业标准, 耐腐蚀性能强。</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30" w:beforeAutospacing="0" w:after="225" w:afterAutospacing="0" w:line="240" w:lineRule="auto"/>
        <w:ind w:left="425" w:leftChars="0" w:right="0" w:rightChars="0" w:hanging="425" w:firstLineChars="0"/>
        <w:jc w:val="left"/>
        <w:rPr>
          <w:rFonts w:hint="eastAsia" w:ascii="宋体" w:hAnsi="宋体" w:eastAsia="宋体" w:cs="宋体"/>
          <w:i w:val="0"/>
          <w:caps w:val="0"/>
          <w:color w:val="666666"/>
          <w:spacing w:val="0"/>
          <w:sz w:val="24"/>
          <w:szCs w:val="24"/>
        </w:rPr>
      </w:pPr>
      <w:r>
        <w:rPr>
          <w:rFonts w:hint="eastAsia" w:ascii="宋体" w:hAnsi="宋体" w:eastAsia="宋体" w:cs="宋体"/>
          <w:sz w:val="24"/>
          <w:szCs w:val="24"/>
        </w:rPr>
        <w:t>导轨：采用三节式静音导轨，表面经过环氧树脂喷涂，防腐性能极佳，承重可达46kg，开合可达50000次照样如新，满负荷无下垂现象，达到国际五金行业标准。</w:t>
      </w:r>
      <w:r>
        <w:rPr>
          <w:rFonts w:hint="eastAsia" w:ascii="宋体" w:hAnsi="宋体" w:eastAsia="宋体" w:cs="宋体"/>
          <w:i w:val="0"/>
          <w:caps w:val="0"/>
          <w:color w:val="0C0C0C"/>
          <w:spacing w:val="0"/>
          <w:kern w:val="0"/>
          <w:sz w:val="24"/>
          <w:szCs w:val="24"/>
          <w:shd w:val="clear" w:fill="FFFFFF"/>
          <w:lang w:val="en-US" w:eastAsia="zh-CN" w:bidi="ar"/>
        </w:rPr>
        <w:t>±5%)，抗腐蚀性能强。</w:t>
      </w: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中央台试剂架</w:t>
      </w:r>
    </w:p>
    <w:p>
      <w:pPr>
        <w:numPr>
          <w:ilvl w:val="0"/>
          <w:numId w:val="8"/>
        </w:numPr>
        <w:spacing w:line="240" w:lineRule="auto"/>
        <w:ind w:left="425" w:leftChars="0" w:hanging="425"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tl w:val="0"/>
        </w:rPr>
        <w:t>立柱：1.2mm优质冷轧钢板制作经CNC机压成形、焊接制作，外型尺寸40mm*90mm。高度750mm，设立层板上下活动调节位，每格调节高度为40mm。</w:t>
      </w:r>
    </w:p>
    <w:p>
      <w:pPr>
        <w:numPr>
          <w:ilvl w:val="0"/>
          <w:numId w:val="8"/>
        </w:numPr>
        <w:spacing w:line="240" w:lineRule="auto"/>
        <w:ind w:left="425" w:leftChars="0" w:hanging="425"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tl w:val="0"/>
        </w:rPr>
        <w:t>横梁：1.2mm优质冷轧钢板制作CNC机压成形、焊接制作，外型尺寸40mm*80mm。横梁内侧按要求配置插座安装孔,横梁内夹层应有足够空间供插座配线隐藏铺设。</w:t>
      </w:r>
    </w:p>
    <w:p>
      <w:pPr>
        <w:numPr>
          <w:ilvl w:val="0"/>
          <w:numId w:val="8"/>
        </w:numPr>
        <w:spacing w:line="240" w:lineRule="auto"/>
        <w:ind w:left="425" w:leftChars="0" w:hanging="425" w:firstLineChars="0"/>
        <w:jc w:val="left"/>
        <w:rPr>
          <w:rFonts w:hint="eastAsia" w:ascii="宋体" w:hAnsi="宋体" w:eastAsia="宋体" w:cs="宋体"/>
          <w:bCs/>
          <w:color w:val="auto"/>
          <w:sz w:val="24"/>
          <w:szCs w:val="24"/>
          <w:highlight w:val="none"/>
          <w:rtl w:val="0"/>
        </w:rPr>
      </w:pPr>
      <w:r>
        <w:rPr>
          <w:rFonts w:hint="eastAsia" w:ascii="宋体" w:hAnsi="宋体" w:eastAsia="宋体" w:cs="宋体"/>
          <w:bCs/>
          <w:color w:val="auto"/>
          <w:sz w:val="24"/>
          <w:szCs w:val="24"/>
          <w:highlight w:val="none"/>
          <w:rtl w:val="0"/>
        </w:rPr>
        <w:t>调节架支撑翼：1.2mm优质冷轧钢板制作冲折制作。</w:t>
      </w:r>
    </w:p>
    <w:p>
      <w:pPr>
        <w:numPr>
          <w:ilvl w:val="0"/>
          <w:numId w:val="8"/>
        </w:numPr>
        <w:spacing w:line="240" w:lineRule="auto"/>
        <w:ind w:left="425" w:leftChars="0" w:hanging="425" w:firstLineChars="0"/>
        <w:jc w:val="left"/>
        <w:rPr>
          <w:rFonts w:hint="eastAsia" w:ascii="宋体" w:hAnsi="宋体" w:eastAsia="宋体" w:cs="宋体"/>
          <w:bCs/>
          <w:color w:val="auto"/>
          <w:sz w:val="24"/>
          <w:szCs w:val="24"/>
          <w:highlight w:val="none"/>
          <w:rtl w:val="0"/>
        </w:rPr>
      </w:pPr>
      <w:r>
        <w:rPr>
          <w:rFonts w:hint="eastAsia" w:ascii="宋体" w:hAnsi="宋体" w:eastAsia="宋体" w:cs="宋体"/>
          <w:bCs/>
          <w:color w:val="auto"/>
          <w:sz w:val="24"/>
          <w:szCs w:val="24"/>
          <w:highlight w:val="none"/>
          <w:rtl w:val="0"/>
        </w:rPr>
        <w:t>钢材表面处理：表面酸洗磷化后环氧树脂静电粉末喷涂，有效防酸碱及有机物，其厚度为1.5mils。</w:t>
      </w:r>
    </w:p>
    <w:p>
      <w:pPr>
        <w:numPr>
          <w:ilvl w:val="0"/>
          <w:numId w:val="8"/>
        </w:numPr>
        <w:spacing w:line="240" w:lineRule="auto"/>
        <w:ind w:left="425" w:leftChars="0" w:hanging="425" w:firstLineChars="0"/>
        <w:jc w:val="left"/>
        <w:rPr>
          <w:rFonts w:hint="eastAsia" w:ascii="宋体" w:hAnsi="宋体" w:eastAsia="宋体" w:cs="宋体"/>
          <w:bCs/>
          <w:color w:val="auto"/>
          <w:sz w:val="24"/>
          <w:szCs w:val="24"/>
          <w:highlight w:val="none"/>
          <w:rtl w:val="0"/>
        </w:rPr>
      </w:pPr>
      <w:r>
        <w:rPr>
          <w:rFonts w:hint="eastAsia" w:ascii="宋体" w:hAnsi="宋体" w:eastAsia="宋体" w:cs="宋体"/>
          <w:bCs/>
          <w:color w:val="auto"/>
          <w:sz w:val="24"/>
          <w:szCs w:val="24"/>
          <w:highlight w:val="none"/>
          <w:rtl w:val="0"/>
        </w:rPr>
        <w:t>试剂架层板：10mm厚钢化玻璃或白玻，四周进行车边处理。分为上下2层，可按采购需求，将层板放置在不同高度。层板外缘采用Φ12.7mm不锈钢材质护栏，防止试剂瓶滚落。圆管两端采用ABS塞封口，以防止圆管内部被氧化。外形设计美观、大方、实用。</w:t>
      </w:r>
    </w:p>
    <w:p>
      <w:pPr>
        <w:numPr>
          <w:ilvl w:val="0"/>
          <w:numId w:val="8"/>
        </w:numPr>
        <w:spacing w:line="24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bCs/>
          <w:color w:val="auto"/>
          <w:sz w:val="24"/>
          <w:szCs w:val="24"/>
          <w:highlight w:val="none"/>
          <w:rtl w:val="0"/>
        </w:rPr>
        <w:t>电源：采用10A五孔插座，经久耐用。</w:t>
      </w:r>
    </w:p>
    <w:p>
      <w:pPr>
        <w:pStyle w:val="21"/>
        <w:numPr>
          <w:ilvl w:val="0"/>
          <w:numId w:val="8"/>
        </w:numPr>
        <w:ind w:left="425" w:leftChars="0" w:hanging="425" w:firstLineChars="0"/>
        <w:rPr>
          <w:rFonts w:hint="default" w:eastAsia="宋体"/>
          <w:lang w:val="en-US" w:eastAsia="zh-CN"/>
        </w:rPr>
      </w:pPr>
      <w:r>
        <w:rPr>
          <w:rFonts w:hint="eastAsia" w:ascii="宋体" w:hAnsi="宋体" w:eastAsia="宋体" w:cs="宋体"/>
          <w:bCs/>
          <w:color w:val="auto"/>
          <w:sz w:val="24"/>
          <w:szCs w:val="24"/>
          <w:highlight w:val="none"/>
          <w:rtl w:val="0"/>
        </w:rPr>
        <w:t>采用台面安装式设计，以方便配置增减拆装。</w:t>
      </w: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水盆水嘴</w:t>
      </w:r>
    </w:p>
    <w:p>
      <w:pPr>
        <w:numPr>
          <w:ilvl w:val="0"/>
          <w:numId w:val="9"/>
        </w:numPr>
        <w:spacing w:line="240" w:lineRule="auto"/>
        <w:ind w:left="425" w:leftChars="0" w:hanging="425" w:firstLineChars="0"/>
        <w:rPr>
          <w:rFonts w:ascii="宋体" w:hAnsi="宋体" w:cs="宋体"/>
          <w:bCs/>
          <w:sz w:val="24"/>
        </w:rPr>
      </w:pPr>
      <w:r>
        <w:rPr>
          <w:rFonts w:hint="eastAsia" w:ascii="宋体" w:hAnsi="宋体" w:cs="宋体"/>
          <w:bCs/>
          <w:sz w:val="24"/>
        </w:rPr>
        <w:t>三口化验水龙头（水嘴）：</w:t>
      </w:r>
      <w:r>
        <w:rPr>
          <w:rFonts w:hint="eastAsia" w:ascii="宋体" w:hAnsi="宋体" w:cs="宋体"/>
          <w:bCs/>
          <w:sz w:val="24"/>
          <w:lang w:eastAsia="zh-Hans"/>
        </w:rPr>
        <w:t>龙头选用59-1级黄铜棒及H63黄铜管</w:t>
      </w:r>
      <w:r>
        <w:rPr>
          <w:rFonts w:hint="eastAsia" w:ascii="宋体" w:hAnsi="宋体" w:cs="宋体"/>
          <w:bCs/>
          <w:sz w:val="24"/>
        </w:rPr>
        <w:t>，</w:t>
      </w:r>
      <w:r>
        <w:rPr>
          <w:rFonts w:hint="eastAsia" w:ascii="宋体" w:hAnsi="宋体" w:cs="宋体"/>
          <w:bCs/>
          <w:sz w:val="24"/>
          <w:lang w:eastAsia="zh-Hans"/>
        </w:rPr>
        <w:t>使用红冲锻造工艺，不出现沙眼；</w:t>
      </w:r>
      <w:r>
        <w:rPr>
          <w:rFonts w:hint="eastAsia" w:ascii="宋体" w:hAnsi="宋体" w:cs="宋体"/>
          <w:bCs/>
          <w:sz w:val="24"/>
        </w:rPr>
        <w:t>涂层经</w:t>
      </w:r>
      <w:r>
        <w:rPr>
          <w:rFonts w:hint="eastAsia" w:ascii="宋体" w:hAnsi="宋体" w:cs="宋体"/>
          <w:bCs/>
          <w:sz w:val="24"/>
          <w:lang w:eastAsia="zh-Hans"/>
        </w:rPr>
        <w:t>哑光</w:t>
      </w:r>
      <w:r>
        <w:rPr>
          <w:rFonts w:hint="eastAsia" w:ascii="宋体" w:hAnsi="宋体" w:cs="宋体"/>
          <w:bCs/>
          <w:sz w:val="24"/>
        </w:rPr>
        <w:t>环氧树脂粉末涂料热固处理，防紫外线辐射，耐</w:t>
      </w:r>
      <w:r>
        <w:rPr>
          <w:rFonts w:hint="eastAsia" w:ascii="宋体" w:hAnsi="宋体" w:cs="宋体"/>
          <w:bCs/>
          <w:sz w:val="24"/>
          <w:lang w:eastAsia="zh-Hans"/>
        </w:rPr>
        <w:t>化学腐蚀；陶瓷阀芯</w:t>
      </w:r>
      <w:r>
        <w:rPr>
          <w:rFonts w:hint="eastAsia" w:ascii="宋体" w:hAnsi="宋体" w:cs="宋体"/>
          <w:bCs/>
          <w:sz w:val="24"/>
        </w:rPr>
        <w:t>可90度旋转、耐磨、耐腐蚀，开关使用寿命测试≥60万次，静态最大耐压2.5MPa,鹅颈出水管可360度旋转；旋钮把手</w:t>
      </w:r>
      <w:r>
        <w:rPr>
          <w:rFonts w:hint="eastAsia" w:ascii="宋体" w:hAnsi="宋体" w:cs="宋体"/>
          <w:bCs/>
          <w:sz w:val="24"/>
          <w:lang w:eastAsia="zh-Hans"/>
        </w:rPr>
        <w:t>为PP全新料无添加碳酸钙；</w:t>
      </w:r>
      <w:r>
        <w:rPr>
          <w:rFonts w:hint="eastAsia" w:ascii="宋体" w:hAnsi="宋体" w:cs="宋体"/>
          <w:bCs/>
          <w:sz w:val="24"/>
        </w:rPr>
        <w:t>供水软管:长度1.5米,软性PVC管外覆不锈钢网,外层包裹PE管,有效防止生锈、渗漏。</w:t>
      </w:r>
    </w:p>
    <w:p>
      <w:pPr>
        <w:numPr>
          <w:ilvl w:val="0"/>
          <w:numId w:val="9"/>
        </w:numPr>
        <w:spacing w:line="240" w:lineRule="auto"/>
        <w:ind w:left="425" w:leftChars="0" w:hanging="425" w:firstLineChars="0"/>
        <w:rPr>
          <w:rFonts w:ascii="宋体" w:hAnsi="宋体" w:cs="宋体"/>
          <w:bCs/>
          <w:sz w:val="24"/>
        </w:rPr>
      </w:pPr>
      <w:r>
        <w:rPr>
          <w:rFonts w:hint="eastAsia" w:ascii="宋体" w:hAnsi="宋体" w:cs="宋体"/>
          <w:bCs/>
          <w:sz w:val="24"/>
        </w:rPr>
        <w:t>三口化验水龙头各项性能需满足或优于以下要求：</w:t>
      </w:r>
    </w:p>
    <w:p>
      <w:pPr>
        <w:pStyle w:val="14"/>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val="0"/>
          <w:i w:val="0"/>
          <w:caps w:val="0"/>
          <w:color w:val="333333"/>
          <w:spacing w:val="0"/>
          <w:sz w:val="24"/>
          <w:szCs w:val="24"/>
        </w:rPr>
      </w:pPr>
      <w:r>
        <w:rPr>
          <w:rFonts w:hint="eastAsia" w:ascii="宋体" w:hAnsi="宋体" w:cs="宋体"/>
          <w:bCs/>
          <w:sz w:val="24"/>
        </w:rPr>
        <w:t>加速耐候性：进行加速耐候性检测≥800h,符合Ⅱ级标准；</w:t>
      </w:r>
      <w:r>
        <w:rPr>
          <w:rFonts w:hint="eastAsia" w:ascii="宋体" w:hAnsi="宋体" w:cs="宋体"/>
          <w:b/>
          <w:bCs w:val="0"/>
          <w:sz w:val="24"/>
          <w:lang w:eastAsia="zh-CN"/>
        </w:rPr>
        <w:t>（</w:t>
      </w:r>
      <w:r>
        <w:rPr>
          <w:rFonts w:hint="eastAsia" w:ascii="宋体" w:hAnsi="宋体" w:eastAsia="宋体" w:cs="宋体"/>
          <w:b/>
          <w:bCs w:val="0"/>
          <w:i w:val="0"/>
          <w:caps w:val="0"/>
          <w:color w:val="333333"/>
          <w:spacing w:val="0"/>
          <w:sz w:val="24"/>
          <w:szCs w:val="24"/>
          <w:shd w:val="clear" w:fill="FFFFFF"/>
        </w:rPr>
        <w:t>响应文件中提供检查报告复印件加盖供应商公章）</w:t>
      </w:r>
    </w:p>
    <w:p>
      <w:pPr>
        <w:pStyle w:val="14"/>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hint="eastAsia" w:ascii="宋体" w:hAnsi="宋体" w:eastAsia="宋体" w:cs="宋体"/>
          <w:b/>
          <w:bCs w:val="0"/>
          <w:i w:val="0"/>
          <w:caps w:val="0"/>
          <w:color w:val="333333"/>
          <w:spacing w:val="0"/>
          <w:sz w:val="24"/>
          <w:szCs w:val="24"/>
        </w:rPr>
      </w:pPr>
      <w:r>
        <w:rPr>
          <w:rFonts w:hint="eastAsia" w:ascii="宋体" w:hAnsi="宋体" w:cs="宋体"/>
          <w:bCs/>
          <w:sz w:val="24"/>
        </w:rPr>
        <w:t>耐湿热性能检测：通过将样品置于试验箱内，开启加热电源使温度达到（25±2）°C，1h后开始加湿，使相对温度达到（95±2）%，保持120h,再置于室温恢复2h，样品经测试应无变化。</w:t>
      </w:r>
      <w:r>
        <w:rPr>
          <w:rFonts w:hint="eastAsia" w:ascii="宋体" w:hAnsi="宋体" w:cs="宋体"/>
          <w:b/>
          <w:bCs w:val="0"/>
          <w:sz w:val="24"/>
          <w:lang w:eastAsia="zh-CN"/>
        </w:rPr>
        <w:t>（</w:t>
      </w:r>
      <w:r>
        <w:rPr>
          <w:rFonts w:hint="eastAsia" w:ascii="宋体" w:hAnsi="宋体" w:eastAsia="宋体" w:cs="宋体"/>
          <w:b/>
          <w:bCs w:val="0"/>
          <w:i w:val="0"/>
          <w:caps w:val="0"/>
          <w:color w:val="333333"/>
          <w:spacing w:val="0"/>
          <w:sz w:val="24"/>
          <w:szCs w:val="24"/>
          <w:shd w:val="clear" w:fill="FFFFFF"/>
        </w:rPr>
        <w:t>响应文件中提供检查报告复印件加盖供应商公章）</w:t>
      </w:r>
    </w:p>
    <w:p>
      <w:pPr>
        <w:numPr>
          <w:ilvl w:val="0"/>
          <w:numId w:val="9"/>
        </w:numPr>
        <w:spacing w:line="240" w:lineRule="auto"/>
        <w:ind w:left="425" w:leftChars="0" w:hanging="425" w:firstLineChars="0"/>
        <w:rPr>
          <w:rFonts w:ascii="宋体" w:hAnsi="宋体" w:cs="宋体"/>
          <w:bCs/>
          <w:sz w:val="24"/>
        </w:rPr>
      </w:pPr>
      <w:r>
        <w:rPr>
          <w:rFonts w:hint="eastAsia" w:ascii="宋体" w:hAnsi="宋体" w:cs="宋体"/>
          <w:bCs/>
          <w:sz w:val="24"/>
        </w:rPr>
        <w:t>三口水龙头化验盆（水盆）</w:t>
      </w:r>
      <w:r>
        <w:rPr>
          <w:rFonts w:hint="eastAsia" w:ascii="宋体" w:hAnsi="宋体" w:cs="宋体"/>
          <w:bCs/>
          <w:sz w:val="24"/>
          <w:lang w:eastAsia="zh-Hans"/>
        </w:rPr>
        <w:t>水槽采用</w:t>
      </w:r>
      <w:r>
        <w:rPr>
          <w:rFonts w:hint="eastAsia" w:ascii="宋体" w:hAnsi="宋体" w:cs="宋体"/>
          <w:bCs/>
          <w:sz w:val="24"/>
        </w:rPr>
        <w:t>全新</w:t>
      </w:r>
      <w:r>
        <w:rPr>
          <w:rFonts w:hint="eastAsia" w:ascii="宋体" w:hAnsi="宋体" w:cs="宋体"/>
          <w:bCs/>
          <w:sz w:val="24"/>
          <w:lang w:eastAsia="zh-Hans"/>
        </w:rPr>
        <w:t>PP</w:t>
      </w:r>
      <w:r>
        <w:rPr>
          <w:rFonts w:hint="eastAsia" w:ascii="宋体" w:hAnsi="宋体" w:cs="宋体"/>
          <w:bCs/>
          <w:sz w:val="24"/>
        </w:rPr>
        <w:t>料</w:t>
      </w:r>
      <w:r>
        <w:rPr>
          <w:rFonts w:hint="eastAsia" w:ascii="宋体" w:hAnsi="宋体" w:cs="宋体"/>
          <w:bCs/>
          <w:sz w:val="24"/>
          <w:lang w:eastAsia="zh-Hans"/>
        </w:rPr>
        <w:t>及进口色母料，无碳酸钙成分；下水口与水槽一体注塑成型，水槽内壁无缩印，四边平整，表面光滑顺畅，</w:t>
      </w:r>
      <w:r>
        <w:rPr>
          <w:rFonts w:hint="eastAsia" w:ascii="宋体" w:hAnsi="宋体" w:cs="宋体"/>
          <w:bCs/>
          <w:sz w:val="24"/>
        </w:rPr>
        <w:t>不</w:t>
      </w:r>
      <w:r>
        <w:rPr>
          <w:rFonts w:hint="eastAsia" w:ascii="宋体" w:hAnsi="宋体" w:cs="宋体"/>
          <w:bCs/>
          <w:sz w:val="24"/>
          <w:lang w:eastAsia="zh-Hans"/>
        </w:rPr>
        <w:t>有划伤、裂纹、气泡、爆边等明显缺陷。</w:t>
      </w:r>
      <w:r>
        <w:rPr>
          <w:rFonts w:hint="eastAsia" w:ascii="宋体" w:hAnsi="宋体" w:cs="宋体"/>
          <w:bCs/>
          <w:sz w:val="24"/>
        </w:rPr>
        <w:t>水槽壁厚≤5mm；</w:t>
      </w:r>
      <w:r>
        <w:rPr>
          <w:rFonts w:hint="eastAsia" w:ascii="宋体" w:hAnsi="宋体" w:cs="宋体"/>
          <w:bCs/>
          <w:sz w:val="24"/>
          <w:lang w:eastAsia="zh-Hans"/>
        </w:rPr>
        <w:t>为防止水槽中间或四周有积液，槽体底部有导流线。</w:t>
      </w:r>
    </w:p>
    <w:p>
      <w:pPr>
        <w:pStyle w:val="14"/>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uto"/>
        <w:ind w:left="425" w:leftChars="0" w:right="0" w:rightChars="0" w:hanging="425" w:firstLineChars="0"/>
        <w:rPr>
          <w:rFonts w:ascii="宋体" w:hAnsi="宋体" w:cs="宋体"/>
          <w:b/>
          <w:bCs/>
          <w:kern w:val="0"/>
          <w:sz w:val="24"/>
          <w:lang w:bidi="ar"/>
        </w:rPr>
      </w:pPr>
      <w:r>
        <w:rPr>
          <w:rFonts w:hint="eastAsia" w:ascii="宋体" w:hAnsi="宋体" w:cs="宋体"/>
          <w:bCs/>
          <w:sz w:val="24"/>
        </w:rPr>
        <w:t>弯曲模量：要求检验结果≥1450MPa。</w:t>
      </w:r>
      <w:r>
        <w:rPr>
          <w:rFonts w:hint="eastAsia" w:ascii="宋体" w:hAnsi="宋体" w:cs="宋体"/>
          <w:b/>
          <w:bCs w:val="0"/>
          <w:sz w:val="24"/>
          <w:lang w:eastAsia="zh-CN"/>
        </w:rPr>
        <w:t>（</w:t>
      </w:r>
      <w:r>
        <w:rPr>
          <w:rFonts w:hint="eastAsia" w:ascii="宋体" w:hAnsi="宋体" w:eastAsia="宋体" w:cs="宋体"/>
          <w:b/>
          <w:bCs w:val="0"/>
          <w:i w:val="0"/>
          <w:caps w:val="0"/>
          <w:color w:val="333333"/>
          <w:spacing w:val="0"/>
          <w:sz w:val="24"/>
          <w:szCs w:val="24"/>
          <w:shd w:val="clear" w:fill="FFFFFF"/>
        </w:rPr>
        <w:t>响应文件中提供检查报告复印件加盖供应商公章）</w:t>
      </w: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台式洗眼器</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 xml:space="preserve">主体:加厚铜质H59-1；                                       </w:t>
      </w:r>
    </w:p>
    <w:p>
      <w:pPr>
        <w:numPr>
          <w:ilvl w:val="0"/>
          <w:numId w:val="10"/>
        </w:numPr>
        <w:spacing w:line="400" w:lineRule="exact"/>
        <w:ind w:left="425" w:leftChars="0" w:hanging="425" w:firstLineChars="0"/>
        <w:rPr>
          <w:rFonts w:ascii="宋体" w:hAnsi="宋体" w:cs="宋体"/>
          <w:bCs/>
          <w:sz w:val="24"/>
        </w:rPr>
      </w:pPr>
      <w:r>
        <w:rPr>
          <w:rFonts w:hint="eastAsia" w:ascii="宋体" w:hAnsi="宋体" w:cs="宋体"/>
          <w:bCs/>
          <w:sz w:val="24"/>
          <w:lang w:eastAsia="zh-Hans"/>
        </w:rPr>
        <w:t>洗眼喷头:加厚铜质环氧树脂涂层外加软性橡胶,出水经缓压处理呈泡沫状水柱,防止冲伤眼睛</w:t>
      </w:r>
      <w:r>
        <w:rPr>
          <w:rFonts w:hint="eastAsia" w:ascii="宋体" w:hAnsi="宋体" w:cs="宋体"/>
          <w:bCs/>
          <w:sz w:val="24"/>
        </w:rPr>
        <w:t>；</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莲蓬头护罩：Φ70橡胶质护杯，以避免紧急使用时瞬间接触眼部造成碰撞二次伤害；</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防尘盖: PP材质, 平常可防尘，使用时可随时被水冲开，并降低突然时短暂的高水压，防止冲伤眼睛，防尘盖有连接于护罩可防尘脱落。使用时自动被水冲开；</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水流锁定开关:水流开启,水流锁定功能一次完成,方便使用；</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控水阀:止逆阀,其阀门可自动关闭；</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前置过滤器：配有小型前置过滤器主要的去除管道所产生的沉淀杂质和细菌、微生物残骸、铁锈、沙泥等大于5微米以上的颗粒杂质，避免眼睛及人体肌肤受到伤害；</w:t>
      </w:r>
    </w:p>
    <w:p>
      <w:pPr>
        <w:numPr>
          <w:ilvl w:val="0"/>
          <w:numId w:val="10"/>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供水软管:长度1.5米,软性PVC管外覆不锈钢网,外层包裹PE管,有效防止生锈、渗漏。</w:t>
      </w:r>
    </w:p>
    <w:p>
      <w:pPr>
        <w:numPr>
          <w:ilvl w:val="0"/>
          <w:numId w:val="10"/>
        </w:numPr>
        <w:spacing w:line="400" w:lineRule="exact"/>
        <w:ind w:left="425" w:leftChars="0" w:hanging="425" w:firstLineChars="0"/>
        <w:rPr>
          <w:rFonts w:ascii="宋体" w:hAnsi="宋体" w:cs="宋体"/>
          <w:bCs/>
          <w:sz w:val="24"/>
        </w:rPr>
      </w:pPr>
      <w:r>
        <w:rPr>
          <w:rFonts w:hint="eastAsia" w:ascii="宋体" w:hAnsi="宋体" w:cs="宋体"/>
          <w:bCs/>
          <w:sz w:val="24"/>
        </w:rPr>
        <w:t>出水量：</w:t>
      </w:r>
      <w:r>
        <w:rPr>
          <w:rFonts w:hint="eastAsia" w:ascii="宋体" w:hAnsi="宋体" w:cs="宋体"/>
          <w:bCs/>
          <w:sz w:val="24"/>
          <w:lang w:eastAsia="zh-Hans"/>
        </w:rPr>
        <w:t>单</w:t>
      </w:r>
      <w:r>
        <w:rPr>
          <w:rFonts w:hint="eastAsia" w:ascii="宋体" w:hAnsi="宋体" w:cs="宋体"/>
          <w:bCs/>
          <w:sz w:val="24"/>
        </w:rPr>
        <w:t>口</w:t>
      </w:r>
      <w:r>
        <w:rPr>
          <w:rFonts w:hint="eastAsia" w:ascii="宋体" w:hAnsi="宋体" w:cs="宋体"/>
          <w:bCs/>
          <w:sz w:val="24"/>
          <w:lang w:eastAsia="zh-Hans"/>
        </w:rPr>
        <w:t>洗眼器＞6升/分钟</w:t>
      </w:r>
      <w:r>
        <w:rPr>
          <w:rFonts w:hint="eastAsia" w:ascii="宋体" w:hAnsi="宋体" w:cs="宋体"/>
          <w:bCs/>
          <w:sz w:val="24"/>
        </w:rPr>
        <w:t>，</w:t>
      </w:r>
      <w:r>
        <w:rPr>
          <w:rFonts w:hint="eastAsia" w:ascii="宋体" w:hAnsi="宋体" w:cs="宋体"/>
          <w:bCs/>
          <w:sz w:val="24"/>
          <w:lang w:eastAsia="zh-Hans"/>
        </w:rPr>
        <w:t>双</w:t>
      </w:r>
      <w:r>
        <w:rPr>
          <w:rFonts w:hint="eastAsia" w:ascii="宋体" w:hAnsi="宋体" w:cs="宋体"/>
          <w:bCs/>
          <w:sz w:val="24"/>
        </w:rPr>
        <w:t>口</w:t>
      </w:r>
      <w:r>
        <w:rPr>
          <w:rFonts w:hint="eastAsia" w:ascii="宋体" w:hAnsi="宋体" w:cs="宋体"/>
          <w:bCs/>
          <w:sz w:val="24"/>
          <w:lang w:eastAsia="zh-Hans"/>
        </w:rPr>
        <w:t>洗眼器＞11.4升/分钟</w:t>
      </w:r>
      <w:r>
        <w:rPr>
          <w:rFonts w:hint="eastAsia" w:ascii="宋体" w:hAnsi="宋体" w:cs="宋体"/>
          <w:bCs/>
          <w:sz w:val="24"/>
        </w:rPr>
        <w:t>；</w:t>
      </w: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滴水架</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材质：高密度PP，款式新颖，有现代感。</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类型：单面。</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底部托盘中间设有排水孔。</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可拆卸式滴水棒，滴水棒50根，有三种不同功能及长度的滴水棒，方便不同规格的器皿挂放。</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安装方式：壁挂式/台式。</w:t>
      </w:r>
    </w:p>
    <w:p>
      <w:pPr>
        <w:numPr>
          <w:ilvl w:val="0"/>
          <w:numId w:val="11"/>
        </w:numPr>
        <w:spacing w:line="400" w:lineRule="exact"/>
        <w:ind w:left="425" w:leftChars="0" w:hanging="425" w:firstLineChars="0"/>
        <w:rPr>
          <w:rFonts w:ascii="宋体" w:hAnsi="宋体" w:cs="宋体"/>
          <w:bCs/>
          <w:sz w:val="24"/>
          <w:lang w:eastAsia="zh-Hans"/>
        </w:rPr>
      </w:pPr>
      <w:r>
        <w:rPr>
          <w:rFonts w:hint="eastAsia" w:ascii="宋体" w:hAnsi="宋体" w:cs="宋体"/>
          <w:bCs/>
          <w:sz w:val="24"/>
          <w:lang w:eastAsia="zh-Hans"/>
        </w:rPr>
        <w:t>颜色：黑色、白色、灰色。</w:t>
      </w:r>
    </w:p>
    <w:p>
      <w:pPr>
        <w:numPr>
          <w:ilvl w:val="0"/>
          <w:numId w:val="11"/>
        </w:numPr>
        <w:spacing w:line="400" w:lineRule="exact"/>
        <w:ind w:left="425" w:leftChars="0" w:hanging="425" w:firstLineChars="0"/>
      </w:pPr>
      <w:r>
        <w:rPr>
          <w:rFonts w:hint="eastAsia" w:ascii="宋体" w:hAnsi="宋体" w:cs="宋体"/>
          <w:bCs/>
          <w:sz w:val="24"/>
          <w:lang w:eastAsia="zh-Hans"/>
        </w:rPr>
        <w:t>尺寸：630*450*120。</w:t>
      </w:r>
    </w:p>
    <w:p>
      <w:pPr>
        <w:pStyle w:val="21"/>
      </w:pP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全钢气瓶柜</w:t>
      </w:r>
      <w:r>
        <w:rPr>
          <w:rFonts w:hint="eastAsia" w:cs="Times New Roman"/>
          <w:color w:val="0D0D0D" w:themeColor="text1" w:themeTint="F2"/>
          <w:kern w:val="0"/>
          <w:sz w:val="24"/>
          <w:szCs w:val="24"/>
          <w:lang w:val="en-US" w:eastAsia="zh-CN"/>
          <w14:textFill>
            <w14:solidFill>
              <w14:schemeClr w14:val="tx1">
                <w14:lumMod w14:val="95000"/>
                <w14:lumOff w14:val="5000"/>
              </w14:schemeClr>
            </w14:solidFill>
          </w14:textFill>
        </w:rPr>
        <w:t>（带氢气报警）</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柜体：主体采用1.0mm</w:t>
      </w:r>
      <w:bookmarkStart w:id="0" w:name="OLE_LINK1"/>
      <w:r>
        <w:rPr>
          <w:rFonts w:hint="eastAsia" w:ascii="宋体" w:hAnsi="宋体" w:eastAsia="宋体" w:cs="宋体"/>
          <w:i w:val="0"/>
          <w:caps w:val="0"/>
          <w:color w:val="0D0D0D"/>
          <w:spacing w:val="0"/>
          <w:kern w:val="0"/>
          <w:sz w:val="24"/>
          <w:szCs w:val="24"/>
          <w:u w:val="none"/>
          <w:shd w:val="clear" w:fill="FFFFFF"/>
          <w:lang w:val="en-US" w:eastAsia="zh-CN" w:bidi="ar"/>
        </w:rPr>
        <w:t>冷连轧碳素钢板</w:t>
      </w:r>
      <w:bookmarkEnd w:id="0"/>
      <w:r>
        <w:rPr>
          <w:rFonts w:hint="eastAsia" w:ascii="宋体" w:hAnsi="宋体" w:eastAsia="宋体" w:cs="宋体"/>
          <w:i w:val="0"/>
          <w:caps w:val="0"/>
          <w:color w:val="0D0D0D"/>
          <w:spacing w:val="0"/>
          <w:kern w:val="0"/>
          <w:sz w:val="24"/>
          <w:szCs w:val="24"/>
          <w:shd w:val="clear" w:fill="FFFFFF"/>
          <w:lang w:val="en-US" w:eastAsia="zh-CN" w:bidi="ar"/>
        </w:rPr>
        <w:t>机加工而成，表面使用环氧树脂粉末喷涂防腐处理，防腐处理，强吸附、抗酸碱，钢板内部加钢衬，提高整体承重性及抗冲击能力；</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翻板：主体采用1.2mm冷连轧碳素钢板机加工而成，表面使用环氧树脂粉末喷涂防腐处理，翻板结构设计可以轻松方便的实现气瓶的更换与固定；</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门板：门板材质与柜体主材一致，1.0mm冷连轧碳素钢板门板上端部分处采用专用设备进行开孔处理，内部镶嵌</w:t>
      </w:r>
      <w:r>
        <w:rPr>
          <w:rFonts w:hint="eastAsia" w:ascii="宋体" w:hAnsi="宋体" w:eastAsia="宋体" w:cs="宋体"/>
          <w:i w:val="0"/>
          <w:caps w:val="0"/>
          <w:color w:val="333333"/>
          <w:spacing w:val="0"/>
          <w:kern w:val="0"/>
          <w:sz w:val="24"/>
          <w:szCs w:val="24"/>
          <w:shd w:val="clear" w:fill="FFFFFF"/>
          <w:lang w:val="en-US" w:eastAsia="zh-CN" w:bidi="ar"/>
        </w:rPr>
        <w:t>224✖280✖5mm</w:t>
      </w:r>
      <w:r>
        <w:rPr>
          <w:rFonts w:hint="eastAsia" w:ascii="宋体" w:hAnsi="宋体" w:eastAsia="宋体" w:cs="宋体"/>
          <w:i w:val="0"/>
          <w:caps w:val="0"/>
          <w:color w:val="0D0D0D"/>
          <w:spacing w:val="0"/>
          <w:kern w:val="0"/>
          <w:sz w:val="24"/>
          <w:szCs w:val="24"/>
          <w:shd w:val="clear" w:fill="FFFFFF"/>
          <w:lang w:val="en-US" w:eastAsia="zh-CN" w:bidi="ar"/>
        </w:rPr>
        <w:t>安全玻璃，四周采用专用橡皮条进行包边工艺处理，可直观查看钢瓶气压表的相关数值,门板内侧设有防撞橡胶垫，对、门板闭合起减震作用；</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调整脚：钢制调整脚底部注塑，防水防锈承重性能优异；</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把手：采用304及以上不锈钢材质把手；</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铰链：采用304及以上不锈钢材质合页铰链，180度开启；</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kern w:val="0"/>
          <w:sz w:val="24"/>
          <w:szCs w:val="24"/>
          <w:shd w:val="clear" w:fill="FFFFFF"/>
          <w:lang w:val="en-US" w:eastAsia="zh-CN" w:bidi="ar"/>
        </w:rPr>
        <w:t>工艺要求：钢材表面平整光滑，不允许有明显焊疤、鼓泡、凹陷、压痕、划痕、裂痕、麻点、崩角和刃口等缺陷。钻孔位置由模具定位。切割、钻孔和倒角去毛刺；</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405" w:lineRule="atLeast"/>
        <w:ind w:left="425" w:leftChars="0" w:right="0" w:hanging="425" w:firstLineChars="0"/>
        <w:jc w:val="left"/>
        <w:rPr>
          <w:rFonts w:hint="default"/>
          <w:lang w:val="en-US" w:eastAsia="zh-CN"/>
        </w:rPr>
      </w:pPr>
      <w:r>
        <w:rPr>
          <w:rFonts w:hint="eastAsia" w:ascii="宋体" w:hAnsi="宋体" w:eastAsia="宋体" w:cs="宋体"/>
          <w:i w:val="0"/>
          <w:caps w:val="0"/>
          <w:color w:val="0D0D0D"/>
          <w:spacing w:val="0"/>
          <w:kern w:val="0"/>
          <w:sz w:val="24"/>
          <w:szCs w:val="24"/>
          <w:shd w:val="clear" w:fill="FFFFFF"/>
          <w:lang w:val="en-US" w:eastAsia="zh-CN" w:bidi="ar"/>
        </w:rPr>
        <w:t>气瓶固定架采用30mm*30mm*2mm塑料方管。</w:t>
      </w:r>
    </w:p>
    <w:p>
      <w:pPr>
        <w:pStyle w:val="21"/>
        <w:rPr>
          <w:rFonts w:hint="eastAsia" w:ascii="宋体" w:hAnsi="宋体" w:eastAsia="宋体" w:cs="宋体"/>
          <w:i w:val="0"/>
          <w:caps w:val="0"/>
          <w:color w:val="0D0D0D"/>
          <w:spacing w:val="0"/>
          <w:kern w:val="0"/>
          <w:sz w:val="24"/>
          <w:szCs w:val="24"/>
          <w:shd w:val="clear" w:fill="FFFFFF"/>
          <w:lang w:val="en-US" w:eastAsia="zh-CN" w:bidi="ar"/>
        </w:rPr>
      </w:pPr>
    </w:p>
    <w:p>
      <w:pPr>
        <w:pStyle w:val="21"/>
        <w:numPr>
          <w:ilvl w:val="1"/>
          <w:numId w:val="4"/>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钢制线盒</w:t>
      </w:r>
    </w:p>
    <w:p>
      <w:pPr>
        <w:pStyle w:val="21"/>
        <w:numPr>
          <w:ilvl w:val="0"/>
          <w:numId w:val="13"/>
        </w:numPr>
        <w:ind w:left="425" w:leftChars="0" w:hanging="425" w:firstLineChars="0"/>
        <w:rPr>
          <w:rFonts w:hint="default" w:ascii="宋体" w:hAnsi="宋体" w:eastAsia="宋体" w:cs="宋体"/>
          <w:color w:val="323E32"/>
          <w:kern w:val="0"/>
          <w:sz w:val="24"/>
          <w:szCs w:val="24"/>
          <w:lang w:val="en-US" w:eastAsia="zh-CN"/>
        </w:rPr>
      </w:pPr>
      <w:r>
        <w:rPr>
          <w:rFonts w:hint="eastAsia" w:ascii="宋体" w:hAnsi="宋体" w:eastAsia="宋体" w:cs="宋体"/>
          <w:sz w:val="24"/>
          <w:szCs w:val="24"/>
        </w:rPr>
        <w:t>双位线盒，两个10A5孔插座带三色2.5平方线接线。</w:t>
      </w:r>
    </w:p>
    <w:p>
      <w:pPr>
        <w:pStyle w:val="21"/>
        <w:rPr>
          <w:rFonts w:hint="eastAsia" w:ascii="宋体" w:hAnsi="宋体" w:eastAsia="宋体" w:cs="宋体"/>
          <w:i w:val="0"/>
          <w:caps w:val="0"/>
          <w:color w:val="0D0D0D"/>
          <w:spacing w:val="0"/>
          <w:kern w:val="0"/>
          <w:sz w:val="24"/>
          <w:szCs w:val="24"/>
          <w:shd w:val="clear" w:fill="FFFFFF"/>
          <w:lang w:val="en-US" w:eastAsia="zh-CN" w:bidi="ar"/>
        </w:rPr>
      </w:pPr>
      <w:r>
        <w:rPr>
          <w:rFonts w:hint="eastAsia" w:ascii="宋体" w:hAnsi="宋体" w:eastAsia="宋体" w:cs="宋体"/>
          <w:i w:val="0"/>
          <w:caps w:val="0"/>
          <w:color w:val="0D0D0D"/>
          <w:spacing w:val="0"/>
          <w:kern w:val="0"/>
          <w:sz w:val="24"/>
          <w:szCs w:val="24"/>
          <w:shd w:val="clear" w:fill="FFFFFF"/>
          <w:lang w:val="en-US" w:eastAsia="zh-CN" w:bidi="ar"/>
        </w:rPr>
        <w:t xml:space="preserve">   </w:t>
      </w:r>
    </w:p>
    <w:p>
      <w:pPr>
        <w:keepNext w:val="0"/>
        <w:keepLines w:val="0"/>
        <w:pageBreakBefore w:val="0"/>
        <w:widowControl/>
        <w:shd w:val="clear" w:color="auto" w:fill="FFFFFF"/>
        <w:kinsoku/>
        <w:wordWrap/>
        <w:overflowPunct/>
        <w:topLinePunct w:val="0"/>
        <w:bidi w:val="0"/>
        <w:spacing w:before="43" w:after="156" w:afterLines="50" w:line="400" w:lineRule="exact"/>
        <w:jc w:val="both"/>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五、报价方式</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color w:val="000000"/>
          <w:kern w:val="2"/>
          <w:sz w:val="24"/>
          <w:szCs w:val="24"/>
          <w:lang w:val="en-US" w:eastAsia="zh-CN" w:bidi="ar-SA"/>
        </w:rPr>
      </w:pPr>
      <w:r>
        <w:rPr>
          <w:rFonts w:hint="default" w:ascii="Times New Roman" w:hAnsi="Times New Roman" w:cs="Times New Roman" w:eastAsiaTheme="minorEastAsia"/>
          <w:bCs/>
          <w:color w:val="000000"/>
          <w:kern w:val="2"/>
          <w:sz w:val="24"/>
          <w:szCs w:val="24"/>
          <w:lang w:val="en-US" w:eastAsia="zh-CN" w:bidi="ar-SA"/>
        </w:rPr>
        <w:t>1、本项目报价为固定综合单价，应包括询价文件所确定的采购范围相应</w:t>
      </w:r>
      <w:r>
        <w:rPr>
          <w:rFonts w:hint="eastAsia" w:ascii="Times New Roman" w:hAnsi="Times New Roman" w:cs="Times New Roman"/>
          <w:bCs/>
          <w:color w:val="000000"/>
          <w:kern w:val="2"/>
          <w:sz w:val="24"/>
          <w:szCs w:val="24"/>
          <w:lang w:val="en-US" w:eastAsia="zh-CN" w:bidi="ar-SA"/>
        </w:rPr>
        <w:t>货物或</w:t>
      </w:r>
      <w:r>
        <w:rPr>
          <w:rFonts w:hint="default" w:ascii="Times New Roman" w:hAnsi="Times New Roman" w:cs="Times New Roman" w:eastAsiaTheme="minorEastAsia"/>
          <w:bCs/>
          <w:color w:val="000000"/>
          <w:kern w:val="2"/>
          <w:sz w:val="24"/>
          <w:szCs w:val="24"/>
          <w:lang w:val="en-US" w:eastAsia="zh-CN" w:bidi="ar-SA"/>
        </w:rPr>
        <w:t>服务的提供、人员（包括工资和补贴）、办公场所及设施、保险、劳保、管理、各种税费、利润、税金、政策性文件规定及合同包含的所有风险、责任等各项应有费用，以及为完成该项目所涉及到的一切关费用，</w:t>
      </w:r>
      <w:r>
        <w:rPr>
          <w:rFonts w:hint="eastAsia" w:ascii="Times New Roman" w:hAnsi="Times New Roman" w:cs="Times New Roman"/>
          <w:bCs/>
          <w:color w:val="000000"/>
          <w:kern w:val="2"/>
          <w:sz w:val="24"/>
          <w:szCs w:val="24"/>
          <w:lang w:val="en-US" w:eastAsia="zh-CN" w:bidi="ar-SA"/>
        </w:rPr>
        <w:t>甲方</w:t>
      </w:r>
      <w:r>
        <w:rPr>
          <w:rFonts w:hint="default" w:ascii="Times New Roman" w:hAnsi="Times New Roman" w:cs="Times New Roman" w:eastAsiaTheme="minorEastAsia"/>
          <w:bCs/>
          <w:color w:val="000000"/>
          <w:kern w:val="2"/>
          <w:sz w:val="24"/>
          <w:szCs w:val="24"/>
          <w:lang w:val="en-US" w:eastAsia="zh-CN" w:bidi="ar-SA"/>
        </w:rPr>
        <w:t>不再支付其他任何费用。</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eastAsiaTheme="minorEastAsia"/>
          <w:bCs/>
          <w:color w:val="000000"/>
          <w:kern w:val="2"/>
          <w:sz w:val="24"/>
          <w:szCs w:val="24"/>
          <w:lang w:val="en-US" w:eastAsia="zh-CN" w:bidi="ar-SA"/>
        </w:rPr>
        <w:t>2、报价货币为人民币。</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3</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、报综合单价及总价，综合单价含原材料、辅料、人工设计、运费、</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安装</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调试、</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税金等与项目相关的一切费用。</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4</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、做好</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设备安装</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时防护措施，施工人员在作业时确保施工安全，一切责任事故由中标单位承担，每次施工完毕，及时清运所有垃圾。如垃圾清理不及时，将扣除</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合同</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价的2%。</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default" w:ascii="Times New Roman" w:hAnsi="Times New Roman" w:eastAsia="宋体" w:cs="Times New Roman"/>
          <w:b/>
          <w:bCs/>
          <w:color w:val="0D0D0D" w:themeColor="text1" w:themeTint="F2"/>
          <w:kern w:val="0"/>
          <w:sz w:val="24"/>
          <w:szCs w:val="24"/>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六</w:t>
      </w:r>
      <w:r>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w:t>
      </w:r>
      <w:r>
        <w:rPr>
          <w:rFonts w:hint="default" w:ascii="Times New Roman" w:hAnsi="Times New Roman" w:eastAsia="宋体" w:cs="Times New Roman"/>
          <w:b/>
          <w:bCs/>
          <w:color w:val="0D0D0D" w:themeColor="text1" w:themeTint="F2"/>
          <w:kern w:val="0"/>
          <w:sz w:val="24"/>
          <w:szCs w:val="24"/>
          <w:lang w:val="en-US" w:eastAsia="zh-CN" w:bidi="ar-SA"/>
          <w14:textFill>
            <w14:solidFill>
              <w14:schemeClr w14:val="tx1">
                <w14:lumMod w14:val="95000"/>
                <w14:lumOff w14:val="5000"/>
              </w14:schemeClr>
            </w14:solidFill>
          </w14:textFill>
        </w:rPr>
        <w:t>材料要求及清单</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1、本项目的原材料材质、材料型号、安装方案，中标单位需要提交书面方案与相关证明材料供甲方审核同意方能进行施工。</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2、采购清单及分项报价清单。</w:t>
      </w:r>
    </w:p>
    <w:tbl>
      <w:tblPr>
        <w:tblStyle w:val="16"/>
        <w:tblW w:w="90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6"/>
        <w:gridCol w:w="905"/>
        <w:gridCol w:w="1745"/>
        <w:gridCol w:w="819"/>
        <w:gridCol w:w="1004"/>
        <w:gridCol w:w="1004"/>
        <w:gridCol w:w="1403"/>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9037" w:type="dxa"/>
            <w:gridSpan w:val="8"/>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实验室家具清单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7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81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40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56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Times New Roman" w:hAnsi="Times New Roman" w:eastAsia="宋体" w:cs="宋体"/>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变风量通风柜带水</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1800*850*2350</w:t>
            </w:r>
          </w:p>
        </w:tc>
        <w:tc>
          <w:tcPr>
            <w:tcW w:w="8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0" w:hRule="atLeast"/>
        </w:trPr>
        <w:tc>
          <w:tcPr>
            <w:tcW w:w="596"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0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通风柜VAV变风量控制装置</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通风柜控制器及操作显示面板</w:t>
            </w:r>
          </w:p>
        </w:tc>
        <w:tc>
          <w:tcPr>
            <w:tcW w:w="81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0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0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通风柜专用控制器</w:t>
            </w:r>
          </w:p>
        </w:tc>
        <w:tc>
          <w:tcPr>
            <w:tcW w:w="81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变风量风速传感器</w:t>
            </w:r>
          </w:p>
        </w:tc>
        <w:tc>
          <w:tcPr>
            <w:tcW w:w="81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调节窗位移传感器</w:t>
            </w:r>
          </w:p>
        </w:tc>
        <w:tc>
          <w:tcPr>
            <w:tcW w:w="81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变风量调节阀</w:t>
            </w:r>
          </w:p>
        </w:tc>
        <w:tc>
          <w:tcPr>
            <w:tcW w:w="81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rPr>
        <w:tc>
          <w:tcPr>
            <w:tcW w:w="596"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区域有人无人传感器</w:t>
            </w:r>
          </w:p>
        </w:tc>
        <w:tc>
          <w:tcPr>
            <w:tcW w:w="81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03"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实验台</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1500*750*830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水槽台</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900*750*830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水槽台</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750*750*830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中央台</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5000*1500*830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中央台试剂架</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5000*350*750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0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水盆水嘴</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500*400*300</w:t>
            </w:r>
          </w:p>
        </w:tc>
        <w:tc>
          <w:tcPr>
            <w:tcW w:w="8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0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滴水架</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0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洗眼器</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钢制双位线盒</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全钢气瓶柜（带氢气报警）</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900*450*1800</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系统调试费</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控制电缆排线及预埋，风机调试等</w:t>
            </w: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color w:val="000000"/>
                <w:kern w:val="0"/>
                <w:sz w:val="24"/>
                <w:lang w:bidi="ar"/>
              </w:rPr>
              <w:t>详见公告文件里的指标内容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安装及运输费</w:t>
            </w:r>
          </w:p>
        </w:tc>
        <w:tc>
          <w:tcPr>
            <w:tcW w:w="17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00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96"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477" w:type="dxa"/>
            <w:gridSpan w:val="5"/>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4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0" w:afterAutospacing="0" w:line="405" w:lineRule="atLeast"/>
        <w:ind w:leftChars="200" w:right="0" w:rightChars="0"/>
        <w:jc w:val="both"/>
        <w:rPr>
          <w:rFonts w:hint="default"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产品推荐品牌</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kern w:val="0"/>
          <w:sz w:val="24"/>
          <w:szCs w:val="24"/>
          <w:lang w:val="en-US" w:eastAsia="zh-Hans"/>
          <w14:textFill>
            <w14:solidFill>
              <w14:schemeClr w14:val="tx1">
                <w14:lumMod w14:val="95000"/>
                <w14:lumOff w14:val="5000"/>
              </w14:schemeClr>
            </w14:solidFill>
          </w14:textFill>
        </w:rPr>
        <w:t>品牌承诺表</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w:t>
      </w:r>
    </w:p>
    <w:tbl>
      <w:tblPr>
        <w:tblStyle w:val="16"/>
        <w:tblW w:w="8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4"/>
        <w:gridCol w:w="1989"/>
        <w:gridCol w:w="3860"/>
        <w:gridCol w:w="2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序号</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产品名称</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推荐品牌</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rPr>
                <w:rFonts w:hint="default" w:ascii="宋体" w:hAnsi="宋体" w:eastAsia="宋体" w:cs="宋体"/>
                <w:i w:val="0"/>
                <w:caps w:val="0"/>
                <w:color w:val="333333"/>
                <w:spacing w:val="0"/>
                <w:sz w:val="24"/>
                <w:szCs w:val="24"/>
                <w:lang w:val="en-US" w:eastAsia="zh-Hans"/>
              </w:rPr>
            </w:pPr>
            <w:r>
              <w:rPr>
                <w:rFonts w:hint="eastAsia" w:cs="宋体"/>
                <w:i w:val="0"/>
                <w:caps w:val="0"/>
                <w:color w:val="333333"/>
                <w:spacing w:val="0"/>
                <w:sz w:val="24"/>
                <w:szCs w:val="24"/>
                <w:lang w:val="en-US" w:eastAsia="zh-Hans"/>
              </w:rPr>
              <w:t>承诺品牌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5"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1</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实芯理化板台面</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伊伦希得、优盛美优臻、上海资恒</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2</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铰链及滑轨</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DTC、海福乐、ABC</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3</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钢板原材</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马钢、鞍钢、宝武钢</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2"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4</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水盆水龙头，滴水架，洗眼器</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科恩、上海台雄、润旺达</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5</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插座</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西门子、正泰、施耐德</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jc w:val="center"/>
        </w:trPr>
        <w:tc>
          <w:tcPr>
            <w:tcW w:w="8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6</w:t>
            </w:r>
          </w:p>
        </w:tc>
        <w:tc>
          <w:tcPr>
            <w:tcW w:w="19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rPr>
            </w:pPr>
            <w:r>
              <w:rPr>
                <w:rFonts w:hint="eastAsia" w:ascii="宋体" w:hAnsi="宋体" w:eastAsia="宋体" w:cs="宋体"/>
                <w:i w:val="0"/>
                <w:color w:val="000000"/>
                <w:kern w:val="0"/>
                <w:sz w:val="24"/>
                <w:szCs w:val="24"/>
                <w:u w:val="none"/>
                <w:lang w:val="en-US" w:eastAsia="zh-CN" w:bidi="ar"/>
              </w:rPr>
              <w:t>通风柜VAV变风量控制装置</w:t>
            </w:r>
          </w:p>
        </w:tc>
        <w:tc>
          <w:tcPr>
            <w:tcW w:w="3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树佳</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同安</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文风</w:t>
            </w:r>
          </w:p>
        </w:tc>
        <w:tc>
          <w:tcPr>
            <w:tcW w:w="22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rPr>
                <w:rFonts w:hint="eastAsia" w:ascii="宋体" w:hAnsi="宋体" w:eastAsia="宋体" w:cs="宋体"/>
                <w:i w:val="0"/>
                <w:caps w:val="0"/>
                <w:color w:val="333333"/>
                <w:spacing w:val="0"/>
                <w:sz w:val="24"/>
                <w:szCs w:val="24"/>
                <w:lang w:val="en-US" w:eastAsia="zh-CN"/>
              </w:rPr>
            </w:pPr>
          </w:p>
        </w:tc>
      </w:tr>
    </w:tbl>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0" w:afterAutospacing="0" w:line="405" w:lineRule="atLeast"/>
        <w:ind w:leftChars="200" w:right="0" w:rightChars="0"/>
        <w:jc w:val="both"/>
        <w:rPr>
          <w:rFonts w:hint="eastAsia" w:ascii="Times New Roman" w:hAnsi="Times New Roman" w:eastAsia="宋体" w:cs="Times New Roman"/>
          <w:color w:val="0D0D0D" w:themeColor="text1" w:themeTint="F2"/>
          <w:kern w:val="0"/>
          <w:sz w:val="24"/>
          <w:szCs w:val="24"/>
          <w:lang w:val="en-US"/>
          <w14:textFill>
            <w14:solidFill>
              <w14:schemeClr w14:val="tx1">
                <w14:lumMod w14:val="95000"/>
                <w14:lumOff w14:val="5000"/>
              </w14:schemeClr>
            </w14:solidFill>
          </w14:textFill>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0" w:afterAutospacing="0" w:line="405" w:lineRule="atLeast"/>
        <w:ind w:left="0" w:right="0" w:firstLine="48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D0D0D"/>
          <w:spacing w:val="0"/>
          <w:sz w:val="24"/>
          <w:szCs w:val="24"/>
          <w:shd w:val="clear" w:fill="FFFFFF"/>
          <w:lang w:val="en-US" w:eastAsia="zh-CN"/>
        </w:rPr>
        <w:t>4</w:t>
      </w:r>
      <w:r>
        <w:rPr>
          <w:rFonts w:hint="eastAsia" w:ascii="宋体" w:hAnsi="宋体" w:eastAsia="宋体" w:cs="宋体"/>
          <w:i w:val="0"/>
          <w:caps w:val="0"/>
          <w:color w:val="0D0D0D"/>
          <w:spacing w:val="0"/>
          <w:sz w:val="24"/>
          <w:szCs w:val="24"/>
          <w:shd w:val="clear" w:fill="FFFFFF"/>
        </w:rPr>
        <w:t>、报综合单价及总价，综合单价含原材料、辅料、人工设计、运费、安装、调试、税金等与项目相关的一切费用。</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0" w:afterAutospacing="0" w:line="405" w:lineRule="atLeast"/>
        <w:ind w:left="0" w:right="0" w:firstLine="480"/>
        <w:jc w:val="both"/>
        <w:rPr>
          <w:rFonts w:hint="eastAsia" w:ascii="宋体" w:hAnsi="宋体" w:eastAsia="宋体" w:cs="宋体"/>
          <w:b/>
          <w:bCs/>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i w:val="0"/>
          <w:caps w:val="0"/>
          <w:color w:val="0D0D0D"/>
          <w:spacing w:val="0"/>
          <w:sz w:val="24"/>
          <w:szCs w:val="24"/>
          <w:shd w:val="clear" w:fill="FFFFFF"/>
          <w:lang w:val="en-US" w:eastAsia="zh-CN"/>
        </w:rPr>
        <w:t>5</w:t>
      </w:r>
      <w:r>
        <w:rPr>
          <w:rFonts w:hint="eastAsia" w:ascii="宋体" w:hAnsi="宋体" w:eastAsia="宋体" w:cs="宋体"/>
          <w:i w:val="0"/>
          <w:caps w:val="0"/>
          <w:color w:val="0D0D0D"/>
          <w:spacing w:val="0"/>
          <w:sz w:val="24"/>
          <w:szCs w:val="24"/>
          <w:shd w:val="clear" w:fill="FFFFFF"/>
        </w:rPr>
        <w:t>、做好设备安装时防护措施，施工人员在作业时确保施工安全，一切责任事故由中标单位承担，每次施工完毕，及时清运所有垃圾。如垃圾清理不及时，将扣除合同价的</w:t>
      </w:r>
      <w:r>
        <w:rPr>
          <w:rFonts w:hint="eastAsia" w:ascii="宋体" w:hAnsi="宋体" w:eastAsia="宋体" w:cs="宋体"/>
          <w:i w:val="0"/>
          <w:caps w:val="0"/>
          <w:color w:val="0D0D0D"/>
          <w:spacing w:val="0"/>
          <w:sz w:val="24"/>
          <w:szCs w:val="24"/>
          <w:shd w:val="clear" w:fill="FFFFFF"/>
          <w:lang w:val="en-US"/>
        </w:rPr>
        <w:t>2%</w:t>
      </w:r>
      <w:r>
        <w:rPr>
          <w:rFonts w:hint="eastAsia" w:ascii="宋体" w:hAnsi="宋体" w:eastAsia="宋体" w:cs="宋体"/>
          <w:i w:val="0"/>
          <w:caps w:val="0"/>
          <w:color w:val="0D0D0D"/>
          <w:spacing w:val="0"/>
          <w:sz w:val="24"/>
          <w:szCs w:val="24"/>
          <w:shd w:val="clear" w:fill="FFFFFF"/>
        </w:rPr>
        <w:t>。</w:t>
      </w:r>
    </w:p>
    <w:p>
      <w:pPr>
        <w:keepNext w:val="0"/>
        <w:keepLines w:val="0"/>
        <w:pageBreakBefore w:val="0"/>
        <w:widowControl/>
        <w:shd w:val="clear" w:color="auto" w:fill="FFFFFF"/>
        <w:kinsoku/>
        <w:wordWrap/>
        <w:overflowPunct/>
        <w:topLinePunct w:val="0"/>
        <w:bidi w:val="0"/>
        <w:spacing w:before="43" w:after="156" w:afterLines="50" w:line="400" w:lineRule="exact"/>
        <w:jc w:val="both"/>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七</w:t>
      </w:r>
      <w:r>
        <w:rPr>
          <w:rFonts w:hint="default" w:ascii="Times New Roman" w:hAnsi="Times New Roman" w:eastAsia="宋体" w:cs="Times New Roman"/>
          <w:b/>
          <w:bCs/>
          <w:color w:val="0D0D0D" w:themeColor="text1" w:themeTint="F2"/>
          <w:kern w:val="0"/>
          <w:sz w:val="24"/>
          <w:szCs w:val="24"/>
          <w:lang w:val="en-US" w:eastAsia="zh-CN"/>
          <w14:textFill>
            <w14:solidFill>
              <w14:schemeClr w14:val="tx1">
                <w14:lumMod w14:val="95000"/>
                <w14:lumOff w14:val="5000"/>
              </w14:schemeClr>
            </w14:solidFill>
          </w14:textFill>
        </w:rPr>
        <w:t>、质保期与售后服务：</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eastAsiaTheme="minorEastAsia"/>
          <w:bCs/>
          <w:color w:val="000000"/>
          <w:kern w:val="2"/>
          <w:sz w:val="24"/>
          <w:szCs w:val="24"/>
          <w:lang w:val="en-US" w:eastAsia="zh-CN" w:bidi="ar-SA"/>
        </w:rPr>
        <w:t>1、</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本项目免费质保期为两年，（免费保质期从项目验收合格之日起计算）。</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cs="Times New Roman" w:eastAsiaTheme="minorEastAsia"/>
          <w:bCs/>
          <w:color w:val="000000"/>
          <w:kern w:val="2"/>
          <w:sz w:val="24"/>
          <w:szCs w:val="24"/>
          <w:lang w:val="en-US" w:eastAsia="zh-CN" w:bidi="ar-SA"/>
        </w:rPr>
        <w:t>2</w:t>
      </w:r>
      <w:r>
        <w:rPr>
          <w:rFonts w:hint="default" w:ascii="Times New Roman" w:hAnsi="Times New Roman" w:cs="Times New Roman" w:eastAsiaTheme="minorEastAsia"/>
          <w:bCs/>
          <w:color w:val="000000"/>
          <w:kern w:val="2"/>
          <w:sz w:val="24"/>
          <w:szCs w:val="24"/>
          <w:lang w:val="en-US" w:eastAsia="zh-CN" w:bidi="ar-SA"/>
        </w:rPr>
        <w:t>、</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安装</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结束后，质保期内，乙方需对本</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项目提供</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跟踪保修服务，并24 小时满足甲方要求，在质保期内的质量问题（甲方不当使用除外），乙方将应提供免费服务（人为因素外），超出质保期的，乙方仅收取成本，但仍提供保修服务。</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cs="Times New Roman" w:eastAsiaTheme="minorEastAsia"/>
          <w:bCs/>
          <w:color w:val="000000"/>
          <w:kern w:val="2"/>
          <w:sz w:val="24"/>
          <w:szCs w:val="24"/>
          <w:lang w:val="en-US" w:eastAsia="zh-CN" w:bidi="ar-SA"/>
        </w:rPr>
        <w:t>3</w:t>
      </w:r>
      <w:r>
        <w:rPr>
          <w:rFonts w:hint="default" w:ascii="Times New Roman" w:hAnsi="Times New Roman" w:cs="Times New Roman" w:eastAsiaTheme="minorEastAsia"/>
          <w:bCs/>
          <w:color w:val="000000"/>
          <w:kern w:val="2"/>
          <w:sz w:val="24"/>
          <w:szCs w:val="24"/>
          <w:lang w:val="en-US" w:eastAsia="zh-CN" w:bidi="ar-SA"/>
        </w:rPr>
        <w:t>、</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质保期内，本项目中设施出现问题，中标人在收到电话通知后应24小时内响应，提供解决方案。特殊情况无法修复的，质保期内中标人应无条件更换新设施或提供代用设施，或采取使设施可正常运转的措施。</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cs="Times New Roman" w:eastAsiaTheme="minorEastAsia"/>
          <w:bCs/>
          <w:color w:val="000000"/>
          <w:kern w:val="2"/>
          <w:sz w:val="24"/>
          <w:szCs w:val="24"/>
          <w:lang w:val="en-US" w:eastAsia="zh-CN" w:bidi="ar-SA"/>
        </w:rPr>
        <w:t>4</w:t>
      </w:r>
      <w:r>
        <w:rPr>
          <w:rFonts w:hint="default" w:ascii="Times New Roman" w:hAnsi="Times New Roman" w:cs="Times New Roman" w:eastAsiaTheme="minorEastAsia"/>
          <w:bCs/>
          <w:color w:val="000000"/>
          <w:kern w:val="2"/>
          <w:sz w:val="24"/>
          <w:szCs w:val="24"/>
          <w:lang w:val="en-US" w:eastAsia="zh-CN" w:bidi="ar-SA"/>
        </w:rPr>
        <w:t>、</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若本项目设施发生故障，中标人提供7*24小时专业工程师电话服务应答，并在24个小时内提供解决方案；如需要现场服务的，专业工程师应在24个小时内到达现场。特殊情况无法修复的，质保期内中标人应无条件更换新设施或提供代用设施，或采取使设施可正常运转的措施。如果是人为造成的设施损坏，维修费用由责任方承担。</w:t>
      </w:r>
    </w:p>
    <w:p>
      <w:pPr>
        <w:pStyle w:val="14"/>
        <w:keepNext w:val="0"/>
        <w:keepLines w:val="0"/>
        <w:pageBreakBefore w:val="0"/>
        <w:shd w:val="clear" w:color="auto" w:fill="FFFFFF"/>
        <w:kinsoku/>
        <w:wordWrap/>
        <w:overflowPunct/>
        <w:topLinePunct w:val="0"/>
        <w:bidi w:val="0"/>
        <w:spacing w:before="43" w:beforeAutospacing="0" w:after="156" w:afterLines="50" w:afterAutospacing="0" w:line="400" w:lineRule="exact"/>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八</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、付款方式</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本项目无预付款。</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1、本项目采用固定单价方式结算，根据实际供货产品及数量等按实结算。</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2、</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合同签订后，货到安装并验收合格后甲方支付合同款项的100%。</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九</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、投标文件内容</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1、营业执照，税务登记证（或三合一的营业执照）的复印件；</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lang w:eastAsia="zh-Han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2、</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报价一览表</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附件</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1）</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3</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分项报价清单</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见六</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材料要求及清单</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lang w:eastAsia="zh-CN"/>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固定综合单价，按实结算；</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lang w:eastAsia="zh-Han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4、</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品牌承诺表</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见六</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材料要求及清单</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5</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、询价公告要求提供的其他材料</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供应商须根据采购需求逐项提供检测报告</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如有负偏离或未提供对应检测报告</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供应商响应无效</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lang w:eastAsia="zh-Han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6、产品响应对照表（</w:t>
      </w: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附件</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2）</w:t>
      </w:r>
    </w:p>
    <w:p>
      <w:pPr>
        <w:pStyle w:val="14"/>
        <w:keepNext w:val="0"/>
        <w:keepLines w:val="0"/>
        <w:pageBreakBefore w:val="0"/>
        <w:shd w:val="clear" w:color="auto" w:fill="FFFFFF"/>
        <w:kinsoku/>
        <w:wordWrap/>
        <w:overflowPunct/>
        <w:topLinePunct w:val="0"/>
        <w:bidi w:val="0"/>
        <w:spacing w:before="0" w:beforeAutospacing="0" w:after="0" w:afterAutospacing="0" w:line="400" w:lineRule="exact"/>
        <w:ind w:firstLine="480" w:firstLineChars="200"/>
        <w:jc w:val="both"/>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以上材料密封、盖章，并加盖骑缝章。</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十</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、违约责任：</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1．</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安装</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质量不符合要求的，</w:t>
      </w: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甲方</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有权要求其进行重新</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安装</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，并达到规定质量要求，费用自理，并有权扣罚</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合同</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款。</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2．</w:t>
      </w:r>
      <w:r>
        <w:rPr>
          <w:rFonts w:hint="default"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中标</w:t>
      </w: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单位延期完工的，每延迟一日另按工程总额的千分之一罚款。</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3．中标单位中标后不得将项目以任何形式转包或分包，一经发现将追究违约责任。</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十一</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、评标：</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本次询价，采用最低价中标法。</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eastAsia" w:ascii="Times New Roman" w:hAnsi="Times New Roman" w:eastAsia="宋体" w:cs="Times New Roman"/>
          <w:color w:val="0D0D0D" w:themeColor="text1" w:themeTint="F2"/>
          <w:sz w:val="21"/>
          <w:szCs w:val="21"/>
          <w:lang w:eastAsia="zh-CN"/>
          <w14:textFill>
            <w14:solidFill>
              <w14:schemeClr w14:val="tx1">
                <w14:lumMod w14:val="95000"/>
                <w14:lumOff w14:val="5000"/>
              </w14:schemeClr>
            </w14:solidFill>
          </w14:textFill>
        </w:rPr>
      </w:pP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十</w:t>
      </w: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二</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、报价材料递交时间</w:t>
      </w:r>
      <w:r>
        <w:rPr>
          <w:rStyle w:val="19"/>
          <w:rFonts w:hint="eastAsia" w:ascii="Times New Roman" w:hAnsi="Times New Roman" w:cs="Times New Roman"/>
          <w:color w:val="0D0D0D" w:themeColor="text1" w:themeTint="F2"/>
          <w:lang w:eastAsia="zh-CN"/>
          <w14:textFill>
            <w14:solidFill>
              <w14:schemeClr w14:val="tx1">
                <w14:lumMod w14:val="95000"/>
                <w14:lumOff w14:val="5000"/>
              </w14:schemeClr>
            </w14:solidFill>
          </w14:textFill>
        </w:rPr>
        <w:t>：</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rPr>
        <w:t>1、报价材料递交截止时间：202</w:t>
      </w:r>
      <w:r>
        <w:rPr>
          <w:rFonts w:hint="eastAsia" w:ascii="Times New Roman" w:hAnsi="Times New Roman" w:cs="Times New Roman"/>
          <w:color w:val="auto"/>
          <w:lang w:val="en-US" w:eastAsia="zh-CN"/>
        </w:rPr>
        <w:t>4</w:t>
      </w:r>
      <w:r>
        <w:rPr>
          <w:rFonts w:hint="default" w:ascii="Times New Roman" w:hAnsi="Times New Roman" w:eastAsia="宋体" w:cs="Times New Roman"/>
          <w:color w:val="auto"/>
        </w:rPr>
        <w:t>年</w:t>
      </w:r>
      <w:r>
        <w:rPr>
          <w:rFonts w:hint="eastAsia" w:ascii="Times New Roman" w:hAnsi="Times New Roman" w:cs="Times New Roman"/>
          <w:color w:val="auto"/>
          <w:lang w:val="en-US" w:eastAsia="zh-CN"/>
        </w:rPr>
        <w:t>3</w:t>
      </w:r>
      <w:r>
        <w:rPr>
          <w:rFonts w:hint="default" w:ascii="Times New Roman" w:hAnsi="Times New Roman" w:eastAsia="宋体" w:cs="Times New Roman"/>
          <w:color w:val="auto"/>
        </w:rPr>
        <w:t>月</w:t>
      </w:r>
      <w:r>
        <w:rPr>
          <w:rFonts w:hint="eastAsia" w:ascii="Times New Roman" w:hAnsi="Times New Roman" w:cs="Times New Roman"/>
          <w:color w:val="auto"/>
          <w:lang w:val="en-US" w:eastAsia="zh-CN"/>
        </w:rPr>
        <w:t>1</w:t>
      </w:r>
      <w:r>
        <w:rPr>
          <w:rFonts w:hint="default" w:ascii="Times New Roman" w:hAnsi="Times New Roman" w:eastAsia="宋体" w:cs="Times New Roman"/>
          <w:color w:val="auto"/>
        </w:rPr>
        <w:t>日</w:t>
      </w:r>
      <w:r>
        <w:rPr>
          <w:rFonts w:hint="eastAsia" w:ascii="Times New Roman" w:hAnsi="Times New Roman" w:cs="Times New Roman"/>
          <w:color w:val="auto"/>
          <w:lang w:val="en-US" w:eastAsia="zh-CN"/>
        </w:rPr>
        <w:t>16：00前</w:t>
      </w:r>
      <w:r>
        <w:rPr>
          <w:rFonts w:hint="default" w:ascii="Times New Roman" w:hAnsi="Times New Roman" w:eastAsia="宋体" w:cs="Times New Roman"/>
          <w:color w:val="auto"/>
        </w:rPr>
        <w:t>。</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2、报价材料递交地点：</w:t>
      </w:r>
      <w:r>
        <w:rPr>
          <w:rFonts w:hint="eastAsia" w:ascii="宋体" w:hAnsi="宋体" w:eastAsia="宋体" w:cs="宋体"/>
          <w:i w:val="0"/>
          <w:caps w:val="0"/>
          <w:color w:val="000000"/>
          <w:spacing w:val="0"/>
          <w:sz w:val="24"/>
          <w:szCs w:val="24"/>
        </w:rPr>
        <w:t>常州市武进区</w:t>
      </w:r>
      <w:r>
        <w:rPr>
          <w:rFonts w:hint="eastAsia" w:cs="宋体"/>
          <w:i w:val="0"/>
          <w:caps w:val="0"/>
          <w:color w:val="000000"/>
          <w:spacing w:val="0"/>
          <w:sz w:val="24"/>
          <w:szCs w:val="24"/>
          <w:lang w:val="en-US" w:eastAsia="zh-Hans"/>
        </w:rPr>
        <w:t>常州大学科教城校区文正楼</w:t>
      </w:r>
      <w:r>
        <w:rPr>
          <w:rFonts w:hint="default" w:cs="宋体"/>
          <w:i w:val="0"/>
          <w:caps w:val="0"/>
          <w:color w:val="000000"/>
          <w:spacing w:val="0"/>
          <w:sz w:val="24"/>
          <w:szCs w:val="24"/>
          <w:lang w:eastAsia="zh-Hans"/>
        </w:rPr>
        <w:t>215，</w:t>
      </w:r>
      <w:r>
        <w:rPr>
          <w:rFonts w:hint="eastAsia" w:cs="宋体"/>
          <w:i w:val="0"/>
          <w:caps w:val="0"/>
          <w:color w:val="000000"/>
          <w:spacing w:val="0"/>
          <w:sz w:val="24"/>
          <w:szCs w:val="24"/>
          <w:lang w:val="en-US" w:eastAsia="zh-Hans"/>
        </w:rPr>
        <w:t>蒋老师</w:t>
      </w:r>
      <w:r>
        <w:rPr>
          <w:rFonts w:hint="default" w:cs="宋体"/>
          <w:i w:val="0"/>
          <w:caps w:val="0"/>
          <w:color w:val="000000"/>
          <w:spacing w:val="0"/>
          <w:sz w:val="24"/>
          <w:szCs w:val="24"/>
          <w:lang w:eastAsia="zh-Hans"/>
        </w:rPr>
        <w:t>，186-5121-3066（</w:t>
      </w:r>
      <w:r>
        <w:rPr>
          <w:rFonts w:hint="eastAsia" w:cs="宋体"/>
          <w:i w:val="0"/>
          <w:caps w:val="0"/>
          <w:color w:val="000000"/>
          <w:spacing w:val="0"/>
          <w:sz w:val="24"/>
          <w:szCs w:val="24"/>
          <w:lang w:val="en-US" w:eastAsia="zh-Hans"/>
        </w:rPr>
        <w:t>如邮寄送达</w:t>
      </w:r>
      <w:r>
        <w:rPr>
          <w:rFonts w:hint="default" w:cs="宋体"/>
          <w:i w:val="0"/>
          <w:caps w:val="0"/>
          <w:color w:val="000000"/>
          <w:spacing w:val="0"/>
          <w:sz w:val="24"/>
          <w:szCs w:val="24"/>
          <w:lang w:eastAsia="zh-Hans"/>
        </w:rPr>
        <w:t>，</w:t>
      </w:r>
      <w:r>
        <w:rPr>
          <w:rFonts w:hint="eastAsia" w:cs="宋体"/>
          <w:i w:val="0"/>
          <w:caps w:val="0"/>
          <w:color w:val="000000"/>
          <w:spacing w:val="0"/>
          <w:sz w:val="24"/>
          <w:szCs w:val="24"/>
          <w:lang w:val="en-US" w:eastAsia="zh-Hans"/>
        </w:rPr>
        <w:t>请使用顺丰快递</w:t>
      </w:r>
      <w:r>
        <w:rPr>
          <w:rFonts w:hint="default" w:cs="宋体"/>
          <w:i w:val="0"/>
          <w:caps w:val="0"/>
          <w:color w:val="000000"/>
          <w:spacing w:val="0"/>
          <w:sz w:val="24"/>
          <w:szCs w:val="24"/>
          <w:lang w:eastAsia="zh-Hans"/>
        </w:rPr>
        <w:t>）</w:t>
      </w:r>
      <w:r>
        <w:rPr>
          <w:rFonts w:hint="eastAsia" w:ascii="Times New Roman" w:hAnsi="Times New Roman" w:eastAsia="宋体" w:cs="Times New Roman"/>
          <w:color w:val="auto"/>
          <w:lang w:val="en-US" w:eastAsia="zh-CN"/>
        </w:rPr>
        <w:t xml:space="preserve"> </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eastAsia" w:ascii="宋体" w:hAnsi="宋体" w:eastAsia="宋体" w:cs="宋体"/>
          <w:i w:val="0"/>
          <w:caps w:val="0"/>
          <w:color w:val="000000"/>
          <w:spacing w:val="0"/>
          <w:sz w:val="21"/>
          <w:szCs w:val="21"/>
          <w:shd w:val="clear" w:fill="FFFFFF"/>
        </w:rPr>
      </w:pPr>
      <w:r>
        <w:rPr>
          <w:rFonts w:hint="default" w:ascii="Times New Roman" w:hAnsi="Times New Roman" w:eastAsia="宋体" w:cs="Times New Roman"/>
          <w:color w:val="auto"/>
        </w:rPr>
        <w:t>3、</w:t>
      </w:r>
      <w:r>
        <w:rPr>
          <w:rFonts w:hint="eastAsia" w:ascii="宋体" w:hAnsi="宋体" w:eastAsia="宋体" w:cs="宋体"/>
          <w:i w:val="0"/>
          <w:caps w:val="0"/>
          <w:color w:val="000000"/>
          <w:spacing w:val="0"/>
          <w:sz w:val="21"/>
          <w:szCs w:val="21"/>
          <w:shd w:val="clear" w:fill="FFFFFF"/>
        </w:rPr>
        <w:t>本项目不集中组织现场勘察，投标单位如有需要，请自行联系勘察。投标单位自行作出的判断和决策由投标单位自行负责，且在成交后不得以未踏勘现场为由向甲方提出其他任何要求。</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rPr>
        <w:t>4、</w:t>
      </w:r>
      <w:r>
        <w:rPr>
          <w:rFonts w:hint="eastAsia" w:ascii="Times New Roman" w:hAnsi="Times New Roman" w:cs="Times New Roman"/>
          <w:color w:val="auto"/>
          <w:lang w:val="en-US" w:eastAsia="zh-Hans"/>
        </w:rPr>
        <w:t>现场勘察</w:t>
      </w:r>
      <w:r>
        <w:rPr>
          <w:rFonts w:hint="default" w:ascii="Times New Roman" w:hAnsi="Times New Roman" w:eastAsia="宋体" w:cs="Times New Roman"/>
          <w:color w:val="auto"/>
        </w:rPr>
        <w:t>联系人：</w:t>
      </w:r>
      <w:r>
        <w:rPr>
          <w:rFonts w:hint="eastAsia" w:cs="宋体"/>
          <w:i w:val="0"/>
          <w:caps w:val="0"/>
          <w:color w:val="auto"/>
          <w:spacing w:val="0"/>
          <w:sz w:val="24"/>
          <w:szCs w:val="24"/>
          <w:lang w:val="en-US" w:eastAsia="zh-CN"/>
        </w:rPr>
        <w:t>张</w:t>
      </w:r>
      <w:r>
        <w:rPr>
          <w:rFonts w:hint="eastAsia" w:ascii="宋体" w:hAnsi="宋体" w:eastAsia="宋体" w:cs="宋体"/>
          <w:i w:val="0"/>
          <w:caps w:val="0"/>
          <w:color w:val="auto"/>
          <w:spacing w:val="0"/>
          <w:sz w:val="24"/>
          <w:szCs w:val="24"/>
        </w:rPr>
        <w:t>老师，联系电话：</w:t>
      </w:r>
      <w:r>
        <w:rPr>
          <w:rFonts w:hint="eastAsia" w:ascii="Times New Roman" w:hAnsi="Times New Roman" w:cs="Times New Roman"/>
          <w:i w:val="0"/>
          <w:caps w:val="0"/>
          <w:color w:val="auto"/>
          <w:spacing w:val="0"/>
          <w:sz w:val="24"/>
          <w:szCs w:val="24"/>
          <w:lang w:val="en-US" w:eastAsia="zh-CN"/>
        </w:rPr>
        <w:t>189-6125-</w:t>
      </w:r>
      <w:bookmarkStart w:id="1" w:name="_GoBack"/>
      <w:bookmarkEnd w:id="1"/>
      <w:r>
        <w:rPr>
          <w:rFonts w:hint="eastAsia" w:ascii="Times New Roman" w:hAnsi="Times New Roman" w:cs="Times New Roman"/>
          <w:i w:val="0"/>
          <w:caps w:val="0"/>
          <w:color w:val="auto"/>
          <w:spacing w:val="0"/>
          <w:sz w:val="24"/>
          <w:szCs w:val="24"/>
          <w:lang w:val="en-US" w:eastAsia="zh-CN"/>
        </w:rPr>
        <w:t>6021</w:t>
      </w:r>
      <w:r>
        <w:rPr>
          <w:rFonts w:hint="eastAsia" w:ascii="宋体" w:hAnsi="宋体" w:eastAsia="宋体" w:cs="宋体"/>
          <w:i w:val="0"/>
          <w:caps w:val="0"/>
          <w:color w:val="auto"/>
          <w:spacing w:val="0"/>
          <w:sz w:val="24"/>
          <w:szCs w:val="24"/>
        </w:rPr>
        <w:t>。</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Style w:val="19"/>
          <w:rFonts w:hint="eastAsia"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十</w:t>
      </w:r>
      <w:r>
        <w:rPr>
          <w:rStyle w:val="19"/>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三</w:t>
      </w:r>
      <w:r>
        <w:rPr>
          <w:rStyle w:val="19"/>
          <w:rFonts w:hint="eastAsia" w:ascii="Times New Roman" w:hAnsi="Times New Roman" w:eastAsia="宋体" w:cs="Times New Roman"/>
          <w:color w:val="0D0D0D" w:themeColor="text1" w:themeTint="F2"/>
          <w:lang w:val="en-US" w:eastAsia="zh-CN"/>
          <w14:textFill>
            <w14:solidFill>
              <w14:schemeClr w14:val="tx1">
                <w14:lumMod w14:val="95000"/>
                <w14:lumOff w14:val="5000"/>
              </w14:schemeClr>
            </w14:solidFill>
          </w14:textFill>
        </w:rPr>
        <w:t>、</w:t>
      </w:r>
      <w:r>
        <w:rPr>
          <w:rStyle w:val="19"/>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t>由该申请部门组成询价评审小组，对投标报价单位进行评审，符合条件的最低价单位中标。</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exact"/>
        <w:rPr>
          <w:rFonts w:hint="eastAsia" w:ascii="宋体" w:hAnsi="宋体" w:eastAsia="宋体" w:cs="宋体"/>
          <w:sz w:val="24"/>
          <w:szCs w:val="24"/>
        </w:rPr>
      </w:pPr>
      <w:r>
        <w:rPr>
          <w:rFonts w:hint="eastAsia" w:ascii="宋体" w:hAnsi="宋体" w:eastAsia="宋体" w:cs="宋体"/>
          <w:sz w:val="24"/>
          <w:szCs w:val="24"/>
        </w:rPr>
        <w:t>附件1报价一览表</w:t>
      </w:r>
    </w:p>
    <w:tbl>
      <w:tblPr>
        <w:tblStyle w:val="1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pacing w:line="360" w:lineRule="exact"/>
              <w:jc w:val="center"/>
              <w:rPr>
                <w:rFonts w:hint="eastAsia" w:ascii="宋体" w:hAnsi="宋体" w:eastAsia="宋体" w:cs="宋体"/>
                <w:sz w:val="24"/>
                <w:szCs w:val="24"/>
              </w:rPr>
            </w:pPr>
            <w:r>
              <w:rPr>
                <w:rFonts w:hint="eastAsia" w:ascii="宋体" w:hAnsi="宋体" w:eastAsia="宋体" w:cs="宋体"/>
                <w:kern w:val="0"/>
                <w:sz w:val="24"/>
                <w:szCs w:val="24"/>
              </w:rPr>
              <w:t>采购项目名称</w:t>
            </w:r>
          </w:p>
        </w:tc>
        <w:tc>
          <w:tcPr>
            <w:tcW w:w="6316" w:type="dxa"/>
          </w:tcPr>
          <w:p>
            <w:pPr>
              <w:spacing w:line="360" w:lineRule="exact"/>
              <w:jc w:val="center"/>
              <w:rPr>
                <w:rFonts w:hint="eastAsia" w:ascii="宋体" w:hAnsi="宋体" w:eastAsia="宋体" w:cs="宋体"/>
                <w:sz w:val="24"/>
                <w:szCs w:val="24"/>
              </w:rPr>
            </w:pPr>
            <w:r>
              <w:rPr>
                <w:rFonts w:hint="default" w:ascii="Times New Roman" w:hAnsi="Times New Roman" w:eastAsia="宋体" w:cs="Times New Roman"/>
                <w:color w:val="auto"/>
                <w:kern w:val="0"/>
                <w:sz w:val="24"/>
                <w:szCs w:val="24"/>
              </w:rPr>
              <w:t>常州大学</w:t>
            </w:r>
            <w:r>
              <w:rPr>
                <w:rFonts w:hint="eastAsia" w:ascii="Times New Roman" w:hAnsi="Times New Roman" w:eastAsia="宋体" w:cs="Times New Roman"/>
                <w:color w:val="auto"/>
                <w:kern w:val="0"/>
                <w:sz w:val="24"/>
                <w:szCs w:val="24"/>
                <w:lang w:eastAsia="zh-CN"/>
              </w:rPr>
              <w:t>材料科学与工程学院北化二楼实验室实验台及通风柜采购及安装项目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widowControl/>
              <w:spacing w:before="45" w:line="432"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投标报价（元）</w:t>
            </w:r>
          </w:p>
          <w:p>
            <w:pPr>
              <w:spacing w:line="360" w:lineRule="exact"/>
              <w:jc w:val="center"/>
              <w:rPr>
                <w:rFonts w:hint="eastAsia" w:ascii="宋体" w:hAnsi="宋体" w:eastAsia="宋体" w:cs="宋体"/>
                <w:sz w:val="24"/>
                <w:szCs w:val="24"/>
              </w:rPr>
            </w:pPr>
            <w:r>
              <w:rPr>
                <w:rFonts w:hint="eastAsia" w:ascii="宋体" w:hAnsi="宋体" w:eastAsia="宋体" w:cs="宋体"/>
                <w:kern w:val="0"/>
                <w:sz w:val="24"/>
                <w:szCs w:val="24"/>
              </w:rPr>
              <w:t>（含税价）</w:t>
            </w:r>
          </w:p>
        </w:tc>
        <w:tc>
          <w:tcPr>
            <w:tcW w:w="6316" w:type="dxa"/>
          </w:tcPr>
          <w:p>
            <w:pPr>
              <w:widowControl/>
              <w:spacing w:before="45" w:line="432" w:lineRule="atLeas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小写：___________元</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kern w:val="0"/>
                <w:sz w:val="24"/>
                <w:szCs w:val="24"/>
              </w:rPr>
              <w:t>大写：___________元</w:t>
            </w:r>
          </w:p>
        </w:tc>
      </w:tr>
    </w:tbl>
    <w:p>
      <w:pPr>
        <w:spacing w:line="360" w:lineRule="exact"/>
        <w:ind w:firstLine="480" w:firstLineChars="200"/>
        <w:rPr>
          <w:rFonts w:hint="eastAsia" w:ascii="宋体" w:hAnsi="宋体" w:eastAsia="宋体" w:cs="宋体"/>
          <w:sz w:val="24"/>
          <w:szCs w:val="24"/>
        </w:rPr>
      </w:pP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投标单位（盖章）：</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法定代表人或代理人（签字或盖章）：</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日期：    年    月    日</w:t>
      </w:r>
    </w:p>
    <w:p>
      <w:pP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14:textFill>
            <w14:solidFill>
              <w14:schemeClr w14:val="tx1">
                <w14:lumMod w14:val="95000"/>
                <w14:lumOff w14:val="5000"/>
              </w14:schemeClr>
            </w14:solidFill>
          </w14:textFill>
        </w:rPr>
        <w:br w:type="page"/>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ind w:firstLine="480" w:firstLineChars="200"/>
        <w:jc w:val="both"/>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Hans"/>
          <w14:textFill>
            <w14:solidFill>
              <w14:schemeClr w14:val="tx1">
                <w14:lumMod w14:val="95000"/>
                <w14:lumOff w14:val="5000"/>
              </w14:schemeClr>
            </w14:solidFill>
          </w14:textFill>
        </w:rPr>
        <w:t>附件</w:t>
      </w:r>
      <w:r>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t>2</w:t>
      </w:r>
    </w:p>
    <w:p>
      <w:pPr>
        <w:snapToGrid w:val="0"/>
        <w:spacing w:line="360" w:lineRule="auto"/>
        <w:jc w:val="center"/>
        <w:rPr>
          <w:rFonts w:hint="eastAsia" w:ascii="Calibri" w:hAnsi="Calibri"/>
          <w:b/>
          <w:bCs/>
          <w:sz w:val="36"/>
          <w:szCs w:val="36"/>
          <w:highlight w:val="none"/>
        </w:rPr>
      </w:pPr>
      <w:r>
        <w:rPr>
          <w:rFonts w:hint="eastAsia"/>
          <w:b/>
          <w:bCs/>
          <w:sz w:val="36"/>
          <w:szCs w:val="36"/>
          <w:highlight w:val="none"/>
          <w:lang w:val="en-US" w:eastAsia="zh-Hans"/>
        </w:rPr>
        <w:t>产品</w:t>
      </w:r>
      <w:r>
        <w:rPr>
          <w:rFonts w:hint="eastAsia"/>
          <w:b/>
          <w:bCs/>
          <w:sz w:val="36"/>
          <w:szCs w:val="36"/>
          <w:highlight w:val="none"/>
        </w:rPr>
        <w:t>响应对照表（格式）</w:t>
      </w:r>
    </w:p>
    <w:p>
      <w:pPr>
        <w:pStyle w:val="2"/>
        <w:spacing w:line="360" w:lineRule="auto"/>
        <w:ind w:left="0" w:firstLine="0"/>
        <w:jc w:val="center"/>
        <w:rPr>
          <w:rFonts w:hint="eastAsia" w:ascii="Calibri" w:hAnsi="Calibri"/>
          <w:b/>
          <w:bCs/>
          <w:sz w:val="36"/>
          <w:szCs w:val="36"/>
          <w:highlight w:val="none"/>
        </w:rPr>
      </w:pPr>
      <w:r>
        <w:rPr>
          <w:rFonts w:hint="eastAsia" w:ascii="Calibri" w:hAnsi="Calibri"/>
          <w:b/>
          <w:bCs/>
          <w:sz w:val="36"/>
          <w:szCs w:val="36"/>
          <w:highlight w:val="none"/>
          <w:lang w:val="en-US" w:eastAsia="zh-Hans"/>
        </w:rPr>
        <w:t>产品</w:t>
      </w:r>
      <w:r>
        <w:rPr>
          <w:rFonts w:hint="eastAsia" w:ascii="Calibri" w:hAnsi="Calibri"/>
          <w:b/>
          <w:bCs/>
          <w:sz w:val="36"/>
          <w:szCs w:val="36"/>
          <w:highlight w:val="none"/>
        </w:rPr>
        <w:t>响应对照表</w:t>
      </w:r>
    </w:p>
    <w:p>
      <w:pPr>
        <w:pStyle w:val="2"/>
        <w:spacing w:line="360" w:lineRule="auto"/>
        <w:ind w:left="0" w:firstLine="240" w:firstLineChars="100"/>
        <w:rPr>
          <w:rFonts w:hint="eastAsia" w:ascii="Calibri" w:hAnsi="Calibri"/>
          <w:sz w:val="24"/>
          <w:szCs w:val="24"/>
          <w:highlight w:val="none"/>
        </w:rPr>
      </w:pPr>
      <w:r>
        <w:rPr>
          <w:rFonts w:hint="eastAsia" w:ascii="Calibri" w:hAnsi="Calibri"/>
          <w:sz w:val="24"/>
          <w:szCs w:val="24"/>
          <w:highlight w:val="none"/>
        </w:rPr>
        <w:t>逐条对应本项目采购清单中的要求认真填写该表。“偏离说明”一栏选择“正偏离”、“负偏离”或“无偏离”进行填写。</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2299"/>
        <w:gridCol w:w="230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Merge w:val="restart"/>
            <w:noWrap w:val="0"/>
            <w:vAlign w:val="center"/>
          </w:tcPr>
          <w:p>
            <w:pPr>
              <w:pStyle w:val="2"/>
              <w:spacing w:line="360" w:lineRule="auto"/>
              <w:jc w:val="both"/>
              <w:rPr>
                <w:rFonts w:ascii="Calibri" w:hAnsi="Calibri" w:cs="Calibri"/>
                <w:sz w:val="24"/>
                <w:szCs w:val="24"/>
                <w:highlight w:val="none"/>
              </w:rPr>
            </w:pPr>
            <w:r>
              <w:rPr>
                <w:rFonts w:hint="eastAsia" w:ascii="Calibri" w:hAnsi="Calibri" w:cs="Calibri"/>
                <w:sz w:val="24"/>
                <w:szCs w:val="24"/>
                <w:highlight w:val="none"/>
              </w:rPr>
              <w:t>项号</w:t>
            </w:r>
          </w:p>
        </w:tc>
        <w:tc>
          <w:tcPr>
            <w:tcW w:w="4927" w:type="dxa"/>
            <w:gridSpan w:val="2"/>
            <w:noWrap w:val="0"/>
            <w:vAlign w:val="center"/>
          </w:tcPr>
          <w:p>
            <w:pPr>
              <w:pStyle w:val="2"/>
              <w:tabs>
                <w:tab w:val="left" w:pos="2188"/>
              </w:tabs>
              <w:spacing w:line="360" w:lineRule="auto"/>
              <w:ind w:left="0" w:firstLine="960" w:firstLineChars="400"/>
              <w:jc w:val="both"/>
              <w:rPr>
                <w:rFonts w:ascii="Calibri" w:hAnsi="Calibri" w:cs="Calibri"/>
                <w:sz w:val="24"/>
                <w:szCs w:val="24"/>
                <w:highlight w:val="none"/>
              </w:rPr>
            </w:pPr>
            <w:r>
              <w:rPr>
                <w:rFonts w:hint="eastAsia" w:ascii="Calibri" w:hAnsi="Calibri" w:cs="Calibri"/>
                <w:sz w:val="24"/>
                <w:szCs w:val="24"/>
                <w:highlight w:val="none"/>
              </w:rPr>
              <w:t>响应文件承诺</w:t>
            </w:r>
          </w:p>
        </w:tc>
        <w:tc>
          <w:tcPr>
            <w:tcW w:w="2464" w:type="dxa"/>
            <w:vMerge w:val="restart"/>
            <w:noWrap w:val="0"/>
            <w:vAlign w:val="center"/>
          </w:tcPr>
          <w:p>
            <w:pPr>
              <w:pStyle w:val="2"/>
              <w:spacing w:line="360" w:lineRule="auto"/>
              <w:ind w:left="0" w:leftChars="0" w:firstLine="480" w:firstLineChars="200"/>
              <w:jc w:val="both"/>
              <w:rPr>
                <w:rFonts w:ascii="Calibri" w:hAnsi="Calibri" w:cs="Calibri"/>
                <w:sz w:val="24"/>
                <w:szCs w:val="24"/>
                <w:highlight w:val="none"/>
              </w:rPr>
            </w:pPr>
            <w:r>
              <w:rPr>
                <w:rFonts w:hint="eastAsia" w:ascii="Calibri" w:hAnsi="Calibri" w:cs="Calibri"/>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3" w:type="dxa"/>
            <w:vMerge w:val="continue"/>
            <w:noWrap w:val="0"/>
            <w:vAlign w:val="center"/>
          </w:tcPr>
          <w:p>
            <w:pPr>
              <w:pStyle w:val="2"/>
              <w:spacing w:line="360" w:lineRule="auto"/>
              <w:jc w:val="center"/>
              <w:rPr>
                <w:rFonts w:hint="eastAsia" w:ascii="Calibri" w:hAnsi="Calibri" w:cs="Calibri"/>
                <w:sz w:val="24"/>
                <w:szCs w:val="24"/>
                <w:highlight w:val="none"/>
              </w:rPr>
            </w:pPr>
          </w:p>
        </w:tc>
        <w:tc>
          <w:tcPr>
            <w:tcW w:w="2463" w:type="dxa"/>
            <w:noWrap w:val="0"/>
            <w:vAlign w:val="center"/>
          </w:tcPr>
          <w:p>
            <w:pPr>
              <w:pStyle w:val="2"/>
              <w:snapToGrid w:val="0"/>
              <w:spacing w:line="360" w:lineRule="auto"/>
              <w:ind w:left="0" w:leftChars="0" w:firstLine="480" w:firstLineChars="200"/>
              <w:jc w:val="both"/>
              <w:rPr>
                <w:rFonts w:ascii="Calibri" w:hAnsi="Calibri" w:cs="Calibri"/>
                <w:sz w:val="24"/>
                <w:szCs w:val="24"/>
                <w:highlight w:val="none"/>
              </w:rPr>
            </w:pPr>
            <w:r>
              <w:rPr>
                <w:rFonts w:hint="eastAsia" w:ascii="Calibri" w:hAnsi="Calibri" w:cs="Calibri"/>
                <w:sz w:val="24"/>
                <w:szCs w:val="24"/>
                <w:highlight w:val="none"/>
                <w:lang w:val="en-US" w:eastAsia="zh-Hans"/>
              </w:rPr>
              <w:t>参数</w:t>
            </w:r>
            <w:r>
              <w:rPr>
                <w:rFonts w:hint="eastAsia" w:ascii="Calibri" w:hAnsi="Calibri" w:cs="Calibri"/>
                <w:sz w:val="24"/>
                <w:szCs w:val="24"/>
                <w:highlight w:val="none"/>
              </w:rPr>
              <w:t>要求</w:t>
            </w:r>
          </w:p>
        </w:tc>
        <w:tc>
          <w:tcPr>
            <w:tcW w:w="2464" w:type="dxa"/>
            <w:noWrap w:val="0"/>
            <w:vAlign w:val="center"/>
          </w:tcPr>
          <w:p>
            <w:pPr>
              <w:pStyle w:val="2"/>
              <w:spacing w:line="360" w:lineRule="auto"/>
              <w:ind w:left="0" w:leftChars="0" w:firstLine="480" w:firstLineChars="200"/>
              <w:jc w:val="both"/>
              <w:rPr>
                <w:rFonts w:ascii="Calibri" w:hAnsi="Calibri" w:cs="Calibri"/>
                <w:sz w:val="24"/>
                <w:szCs w:val="24"/>
                <w:highlight w:val="none"/>
              </w:rPr>
            </w:pPr>
            <w:r>
              <w:rPr>
                <w:rFonts w:hint="eastAsia" w:ascii="Calibri" w:hAnsi="Calibri" w:cs="Calibri"/>
                <w:sz w:val="24"/>
                <w:szCs w:val="24"/>
                <w:highlight w:val="none"/>
              </w:rPr>
              <w:t>响应内容</w:t>
            </w:r>
          </w:p>
        </w:tc>
        <w:tc>
          <w:tcPr>
            <w:tcW w:w="2464" w:type="dxa"/>
            <w:vMerge w:val="continue"/>
            <w:noWrap w:val="0"/>
            <w:vAlign w:val="center"/>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center"/>
          </w:tcPr>
          <w:p>
            <w:pPr>
              <w:pStyle w:val="2"/>
              <w:spacing w:line="360" w:lineRule="auto"/>
              <w:jc w:val="center"/>
              <w:rPr>
                <w:rFonts w:hint="eastAsia" w:ascii="Calibri" w:hAnsi="Calibri" w:cs="Calibri"/>
                <w:sz w:val="24"/>
                <w:szCs w:val="24"/>
                <w:highlight w:val="none"/>
              </w:rPr>
            </w:pPr>
          </w:p>
        </w:tc>
        <w:tc>
          <w:tcPr>
            <w:tcW w:w="2463" w:type="dxa"/>
            <w:noWrap w:val="0"/>
            <w:vAlign w:val="center"/>
          </w:tcPr>
          <w:p>
            <w:pPr>
              <w:pStyle w:val="2"/>
              <w:spacing w:line="360" w:lineRule="auto"/>
              <w:jc w:val="center"/>
              <w:rPr>
                <w:rFonts w:hint="eastAsia" w:ascii="Calibri" w:hAnsi="Calibri" w:cs="Calibri"/>
                <w:sz w:val="24"/>
                <w:szCs w:val="24"/>
                <w:highlight w:val="none"/>
              </w:rPr>
            </w:pPr>
          </w:p>
        </w:tc>
        <w:tc>
          <w:tcPr>
            <w:tcW w:w="2464" w:type="dxa"/>
            <w:noWrap w:val="0"/>
            <w:vAlign w:val="center"/>
          </w:tcPr>
          <w:p>
            <w:pPr>
              <w:pStyle w:val="2"/>
              <w:spacing w:line="360" w:lineRule="auto"/>
              <w:jc w:val="center"/>
              <w:rPr>
                <w:rFonts w:hint="eastAsia" w:ascii="Calibri" w:hAnsi="Calibri" w:cs="Calibri"/>
                <w:sz w:val="24"/>
                <w:szCs w:val="24"/>
                <w:highlight w:val="none"/>
              </w:rPr>
            </w:pPr>
          </w:p>
        </w:tc>
        <w:tc>
          <w:tcPr>
            <w:tcW w:w="2464" w:type="dxa"/>
            <w:noWrap w:val="0"/>
            <w:vAlign w:val="center"/>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3"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c>
          <w:tcPr>
            <w:tcW w:w="2464" w:type="dxa"/>
            <w:noWrap w:val="0"/>
            <w:vAlign w:val="top"/>
          </w:tcPr>
          <w:p>
            <w:pPr>
              <w:pStyle w:val="2"/>
              <w:spacing w:line="360" w:lineRule="auto"/>
              <w:jc w:val="center"/>
              <w:rPr>
                <w:rFonts w:hint="eastAsia" w:ascii="Calibri" w:hAnsi="Calibri" w:cs="Calibri"/>
                <w:sz w:val="24"/>
                <w:szCs w:val="24"/>
                <w:highlight w:val="none"/>
              </w:rPr>
            </w:pPr>
          </w:p>
        </w:tc>
      </w:tr>
    </w:tbl>
    <w:p>
      <w:pPr>
        <w:pStyle w:val="2"/>
        <w:spacing w:line="360" w:lineRule="auto"/>
        <w:ind w:left="0" w:leftChars="0" w:firstLine="0" w:firstLineChars="0"/>
        <w:rPr>
          <w:rFonts w:ascii="Calibri" w:hAnsi="Calibri"/>
          <w:sz w:val="24"/>
          <w:szCs w:val="24"/>
          <w:highlight w:val="none"/>
        </w:rPr>
      </w:pPr>
    </w:p>
    <w:p>
      <w:pPr>
        <w:pStyle w:val="2"/>
        <w:spacing w:line="360" w:lineRule="auto"/>
        <w:ind w:left="0" w:firstLine="4560" w:firstLineChars="1900"/>
        <w:rPr>
          <w:rFonts w:hint="eastAsia" w:ascii="Calibri" w:hAnsi="Calibri"/>
          <w:sz w:val="24"/>
          <w:szCs w:val="24"/>
          <w:highlight w:val="none"/>
        </w:rPr>
      </w:pPr>
      <w:r>
        <w:rPr>
          <w:rFonts w:hint="eastAsia" w:ascii="Calibri" w:hAnsi="Calibri"/>
          <w:sz w:val="24"/>
          <w:szCs w:val="24"/>
          <w:highlight w:val="none"/>
        </w:rPr>
        <w:t>响应单位（盖章）：</w:t>
      </w:r>
    </w:p>
    <w:p>
      <w:pPr>
        <w:pStyle w:val="2"/>
        <w:spacing w:line="360" w:lineRule="auto"/>
        <w:ind w:left="0" w:firstLine="4560" w:firstLineChars="1900"/>
        <w:rPr>
          <w:rFonts w:hint="eastAsia" w:ascii="Calibri" w:hAnsi="Calibri"/>
          <w:sz w:val="24"/>
          <w:szCs w:val="24"/>
          <w:highlight w:val="none"/>
        </w:rPr>
      </w:pPr>
      <w:r>
        <w:rPr>
          <w:rFonts w:hint="eastAsia" w:ascii="Calibri" w:hAnsi="Calibri"/>
          <w:sz w:val="24"/>
          <w:szCs w:val="24"/>
          <w:highlight w:val="none"/>
        </w:rPr>
        <w:t>联系人：</w:t>
      </w:r>
    </w:p>
    <w:p>
      <w:pPr>
        <w:pStyle w:val="2"/>
        <w:spacing w:line="360" w:lineRule="auto"/>
        <w:ind w:firstLine="4560" w:firstLineChars="1900"/>
        <w:rPr>
          <w:rFonts w:hint="eastAsia" w:ascii="Calibri" w:hAnsi="Calibri"/>
          <w:sz w:val="24"/>
          <w:szCs w:val="24"/>
          <w:highlight w:val="none"/>
        </w:rPr>
      </w:pPr>
      <w:r>
        <w:rPr>
          <w:rFonts w:hint="eastAsia" w:ascii="Calibri" w:hAnsi="Calibri"/>
          <w:sz w:val="24"/>
          <w:szCs w:val="24"/>
          <w:highlight w:val="none"/>
        </w:rPr>
        <w:t>联系电话：</w:t>
      </w:r>
    </w:p>
    <w:p>
      <w:pPr>
        <w:pStyle w:val="2"/>
        <w:spacing w:line="360" w:lineRule="auto"/>
        <w:ind w:firstLine="4560" w:firstLineChars="1900"/>
        <w:rPr>
          <w:rFonts w:hint="eastAsia" w:ascii="Calibri" w:hAnsi="Calibri"/>
          <w:sz w:val="24"/>
          <w:szCs w:val="24"/>
          <w:highlight w:val="none"/>
        </w:rPr>
      </w:pPr>
      <w:r>
        <w:rPr>
          <w:rFonts w:hint="eastAsia" w:ascii="Calibri" w:hAnsi="Calibri"/>
          <w:sz w:val="24"/>
          <w:szCs w:val="24"/>
          <w:highlight w:val="none"/>
        </w:rPr>
        <w:t>法定代表人（或委托代理人）签字：</w:t>
      </w:r>
    </w:p>
    <w:p>
      <w:pPr>
        <w:pStyle w:val="2"/>
        <w:spacing w:line="360" w:lineRule="auto"/>
        <w:ind w:firstLine="4560" w:firstLineChars="1900"/>
        <w:rPr>
          <w:rFonts w:ascii="Calibri" w:hAnsi="Calibri"/>
          <w:sz w:val="24"/>
          <w:szCs w:val="24"/>
          <w:highlight w:val="none"/>
        </w:rPr>
      </w:pPr>
      <w:r>
        <w:rPr>
          <w:rFonts w:hint="eastAsia" w:ascii="Calibri" w:hAnsi="Calibri"/>
          <w:sz w:val="24"/>
          <w:szCs w:val="24"/>
          <w:highlight w:val="none"/>
        </w:rPr>
        <w:t>日期：    年     月    日</w:t>
      </w:r>
    </w:p>
    <w:p>
      <w:pPr>
        <w:pStyle w:val="14"/>
        <w:keepNext w:val="0"/>
        <w:keepLines w:val="0"/>
        <w:pageBreakBefore w:val="0"/>
        <w:shd w:val="clear" w:color="auto" w:fill="FFFFFF"/>
        <w:kinsoku/>
        <w:wordWrap/>
        <w:overflowPunct/>
        <w:topLinePunct w:val="0"/>
        <w:bidi w:val="0"/>
        <w:spacing w:before="43" w:beforeAutospacing="0" w:after="0" w:afterAutospacing="0" w:line="400" w:lineRule="exact"/>
        <w:jc w:val="both"/>
        <w:rPr>
          <w:rFonts w:hint="default" w:ascii="Times New Roman" w:hAnsi="Times New Roman" w:cs="Times New Roman"/>
          <w:color w:val="0D0D0D" w:themeColor="text1" w:themeTint="F2"/>
          <w:lang w:eastAsia="zh-Hans"/>
          <w14:textFill>
            <w14:solidFill>
              <w14:schemeClr w14:val="tx1">
                <w14:lumMod w14:val="95000"/>
                <w14:lumOff w14:val="5000"/>
              </w14:schemeClr>
            </w14:solidFill>
          </w14:textFill>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71039"/>
    <w:multiLevelType w:val="singleLevel"/>
    <w:tmpl w:val="CF871039"/>
    <w:lvl w:ilvl="0" w:tentative="0">
      <w:start w:val="1"/>
      <w:numFmt w:val="decimal"/>
      <w:lvlText w:val="(%1)"/>
      <w:lvlJc w:val="left"/>
      <w:pPr>
        <w:ind w:left="425" w:hanging="425"/>
      </w:pPr>
      <w:rPr>
        <w:rFonts w:hint="default"/>
      </w:rPr>
    </w:lvl>
  </w:abstractNum>
  <w:abstractNum w:abstractNumId="1">
    <w:nsid w:val="CFB023E0"/>
    <w:multiLevelType w:val="singleLevel"/>
    <w:tmpl w:val="CFB023E0"/>
    <w:lvl w:ilvl="0" w:tentative="0">
      <w:start w:val="1"/>
      <w:numFmt w:val="decimal"/>
      <w:lvlText w:val="(%1)"/>
      <w:lvlJc w:val="left"/>
      <w:pPr>
        <w:ind w:left="425" w:hanging="425"/>
      </w:pPr>
      <w:rPr>
        <w:rFonts w:hint="default"/>
      </w:rPr>
    </w:lvl>
  </w:abstractNum>
  <w:abstractNum w:abstractNumId="2">
    <w:nsid w:val="E1E9DFF6"/>
    <w:multiLevelType w:val="singleLevel"/>
    <w:tmpl w:val="E1E9DFF6"/>
    <w:lvl w:ilvl="0" w:tentative="0">
      <w:start w:val="1"/>
      <w:numFmt w:val="chineseCounting"/>
      <w:suff w:val="nothing"/>
      <w:lvlText w:val="%1、"/>
      <w:lvlJc w:val="left"/>
      <w:rPr>
        <w:rFonts w:hint="eastAsia"/>
        <w:lang w:val="en-US"/>
      </w:rPr>
    </w:lvl>
  </w:abstractNum>
  <w:abstractNum w:abstractNumId="3">
    <w:nsid w:val="F19EDF18"/>
    <w:multiLevelType w:val="multilevel"/>
    <w:tmpl w:val="F19EDF18"/>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2EE6637C"/>
    <w:multiLevelType w:val="singleLevel"/>
    <w:tmpl w:val="2EE6637C"/>
    <w:lvl w:ilvl="0" w:tentative="0">
      <w:start w:val="1"/>
      <w:numFmt w:val="decimal"/>
      <w:lvlText w:val="(%1)"/>
      <w:lvlJc w:val="left"/>
      <w:pPr>
        <w:ind w:left="425" w:hanging="425"/>
      </w:pPr>
      <w:rPr>
        <w:rFonts w:hint="default"/>
      </w:rPr>
    </w:lvl>
  </w:abstractNum>
  <w:abstractNum w:abstractNumId="5">
    <w:nsid w:val="32E8D84B"/>
    <w:multiLevelType w:val="singleLevel"/>
    <w:tmpl w:val="32E8D84B"/>
    <w:lvl w:ilvl="0" w:tentative="0">
      <w:start w:val="1"/>
      <w:numFmt w:val="decimal"/>
      <w:suff w:val="nothing"/>
      <w:lvlText w:val="%1、"/>
      <w:lvlJc w:val="left"/>
    </w:lvl>
  </w:abstractNum>
  <w:abstractNum w:abstractNumId="6">
    <w:nsid w:val="33C471F2"/>
    <w:multiLevelType w:val="singleLevel"/>
    <w:tmpl w:val="33C471F2"/>
    <w:lvl w:ilvl="0" w:tentative="0">
      <w:start w:val="1"/>
      <w:numFmt w:val="decimal"/>
      <w:lvlText w:val="(%1)"/>
      <w:lvlJc w:val="left"/>
      <w:pPr>
        <w:ind w:left="425" w:hanging="425"/>
      </w:pPr>
      <w:rPr>
        <w:rFonts w:hint="default"/>
      </w:rPr>
    </w:lvl>
  </w:abstractNum>
  <w:abstractNum w:abstractNumId="7">
    <w:nsid w:val="3841E978"/>
    <w:multiLevelType w:val="singleLevel"/>
    <w:tmpl w:val="3841E978"/>
    <w:lvl w:ilvl="0" w:tentative="0">
      <w:start w:val="1"/>
      <w:numFmt w:val="decimal"/>
      <w:lvlText w:val="(%1)"/>
      <w:lvlJc w:val="left"/>
      <w:pPr>
        <w:ind w:left="425" w:hanging="425"/>
      </w:pPr>
      <w:rPr>
        <w:rFonts w:hint="default"/>
        <w:b w:val="0"/>
        <w:bCs w:val="0"/>
      </w:rPr>
    </w:lvl>
  </w:abstractNum>
  <w:abstractNum w:abstractNumId="8">
    <w:nsid w:val="59F065AD"/>
    <w:multiLevelType w:val="singleLevel"/>
    <w:tmpl w:val="59F065AD"/>
    <w:lvl w:ilvl="0" w:tentative="0">
      <w:start w:val="1"/>
      <w:numFmt w:val="decimal"/>
      <w:lvlText w:val="(%1)"/>
      <w:lvlJc w:val="left"/>
      <w:pPr>
        <w:ind w:left="425" w:hanging="425"/>
      </w:pPr>
      <w:rPr>
        <w:rFonts w:hint="default"/>
      </w:rPr>
    </w:lvl>
  </w:abstractNum>
  <w:abstractNum w:abstractNumId="9">
    <w:nsid w:val="61CD91C7"/>
    <w:multiLevelType w:val="singleLevel"/>
    <w:tmpl w:val="61CD91C7"/>
    <w:lvl w:ilvl="0" w:tentative="0">
      <w:start w:val="1"/>
      <w:numFmt w:val="decimal"/>
      <w:lvlText w:val="(%1)"/>
      <w:lvlJc w:val="left"/>
      <w:pPr>
        <w:ind w:left="425" w:hanging="425"/>
      </w:pPr>
      <w:rPr>
        <w:rFonts w:hint="default"/>
      </w:rPr>
    </w:lvl>
  </w:abstractNum>
  <w:abstractNum w:abstractNumId="10">
    <w:nsid w:val="673621E1"/>
    <w:multiLevelType w:val="singleLevel"/>
    <w:tmpl w:val="673621E1"/>
    <w:lvl w:ilvl="0" w:tentative="0">
      <w:start w:val="1"/>
      <w:numFmt w:val="decimal"/>
      <w:lvlText w:val="(%1)"/>
      <w:lvlJc w:val="left"/>
      <w:pPr>
        <w:ind w:left="425" w:hanging="425"/>
      </w:pPr>
      <w:rPr>
        <w:rFonts w:hint="default"/>
      </w:rPr>
    </w:lvl>
  </w:abstractNum>
  <w:abstractNum w:abstractNumId="11">
    <w:nsid w:val="77620B8C"/>
    <w:multiLevelType w:val="multilevel"/>
    <w:tmpl w:val="77620B8C"/>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7E743373"/>
    <w:multiLevelType w:val="singleLevel"/>
    <w:tmpl w:val="7E743373"/>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5"/>
  </w:num>
  <w:num w:numId="4">
    <w:abstractNumId w:val="11"/>
  </w:num>
  <w:num w:numId="5">
    <w:abstractNumId w:val="4"/>
  </w:num>
  <w:num w:numId="6">
    <w:abstractNumId w:val="7"/>
  </w:num>
  <w:num w:numId="7">
    <w:abstractNumId w:val="1"/>
  </w:num>
  <w:num w:numId="8">
    <w:abstractNumId w:val="9"/>
  </w:num>
  <w:num w:numId="9">
    <w:abstractNumId w:val="6"/>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kY2QxNTdjMjBmNDEyMTY1ZjMyYTdkZDU3OWY2YjEifQ=="/>
  </w:docVars>
  <w:rsids>
    <w:rsidRoot w:val="00584368"/>
    <w:rsid w:val="000008B8"/>
    <w:rsid w:val="00033480"/>
    <w:rsid w:val="00057474"/>
    <w:rsid w:val="0006141E"/>
    <w:rsid w:val="000F37D4"/>
    <w:rsid w:val="00102AB0"/>
    <w:rsid w:val="00136B4D"/>
    <w:rsid w:val="00140F2C"/>
    <w:rsid w:val="0015033D"/>
    <w:rsid w:val="00177A30"/>
    <w:rsid w:val="001A1948"/>
    <w:rsid w:val="001B0145"/>
    <w:rsid w:val="001C39E8"/>
    <w:rsid w:val="0021338E"/>
    <w:rsid w:val="002273F4"/>
    <w:rsid w:val="002512D9"/>
    <w:rsid w:val="00330787"/>
    <w:rsid w:val="003A6B6D"/>
    <w:rsid w:val="004D5408"/>
    <w:rsid w:val="004F2875"/>
    <w:rsid w:val="00520FC1"/>
    <w:rsid w:val="00584368"/>
    <w:rsid w:val="005B2E1E"/>
    <w:rsid w:val="005C685C"/>
    <w:rsid w:val="005E0B1E"/>
    <w:rsid w:val="005F562C"/>
    <w:rsid w:val="005F72AF"/>
    <w:rsid w:val="00616023"/>
    <w:rsid w:val="00653DF4"/>
    <w:rsid w:val="006A4A78"/>
    <w:rsid w:val="00732534"/>
    <w:rsid w:val="007E1D0D"/>
    <w:rsid w:val="007E4D64"/>
    <w:rsid w:val="00817704"/>
    <w:rsid w:val="00832C37"/>
    <w:rsid w:val="008C36D2"/>
    <w:rsid w:val="008D0EB3"/>
    <w:rsid w:val="008F7A7E"/>
    <w:rsid w:val="00901C4F"/>
    <w:rsid w:val="00966E1B"/>
    <w:rsid w:val="009E68FE"/>
    <w:rsid w:val="00A17669"/>
    <w:rsid w:val="00A52C33"/>
    <w:rsid w:val="00AA3D5E"/>
    <w:rsid w:val="00B40BE7"/>
    <w:rsid w:val="00B42D1A"/>
    <w:rsid w:val="00B8438E"/>
    <w:rsid w:val="00BB3CB9"/>
    <w:rsid w:val="00BD6A75"/>
    <w:rsid w:val="00C0519C"/>
    <w:rsid w:val="00C2465B"/>
    <w:rsid w:val="00C545E0"/>
    <w:rsid w:val="00C82C7F"/>
    <w:rsid w:val="00CB5D7E"/>
    <w:rsid w:val="00CD6ECF"/>
    <w:rsid w:val="00CF23AC"/>
    <w:rsid w:val="00D60EFC"/>
    <w:rsid w:val="00D86DAA"/>
    <w:rsid w:val="00D96464"/>
    <w:rsid w:val="00D96CDF"/>
    <w:rsid w:val="00DB6562"/>
    <w:rsid w:val="00DD19D0"/>
    <w:rsid w:val="00E553CA"/>
    <w:rsid w:val="00EE00FA"/>
    <w:rsid w:val="00EE732C"/>
    <w:rsid w:val="00F27772"/>
    <w:rsid w:val="00F45D43"/>
    <w:rsid w:val="00FC03DA"/>
    <w:rsid w:val="00FE2088"/>
    <w:rsid w:val="00FF0CD9"/>
    <w:rsid w:val="019A1759"/>
    <w:rsid w:val="01BD17FD"/>
    <w:rsid w:val="029750F8"/>
    <w:rsid w:val="032C5B4D"/>
    <w:rsid w:val="03CD078E"/>
    <w:rsid w:val="04D61BD2"/>
    <w:rsid w:val="04FD0E79"/>
    <w:rsid w:val="050B29C7"/>
    <w:rsid w:val="0EE451D8"/>
    <w:rsid w:val="0F0D4C10"/>
    <w:rsid w:val="10BD6B53"/>
    <w:rsid w:val="10C3028B"/>
    <w:rsid w:val="125D0CE9"/>
    <w:rsid w:val="139D684A"/>
    <w:rsid w:val="20597785"/>
    <w:rsid w:val="224878D4"/>
    <w:rsid w:val="24C50AFF"/>
    <w:rsid w:val="24E3140B"/>
    <w:rsid w:val="29F30D0B"/>
    <w:rsid w:val="2A08556D"/>
    <w:rsid w:val="2A685785"/>
    <w:rsid w:val="2C9F08BF"/>
    <w:rsid w:val="2F6D7B17"/>
    <w:rsid w:val="30603B32"/>
    <w:rsid w:val="33D4442F"/>
    <w:rsid w:val="34A81648"/>
    <w:rsid w:val="371F0A95"/>
    <w:rsid w:val="37942D9D"/>
    <w:rsid w:val="3A754899"/>
    <w:rsid w:val="3C282490"/>
    <w:rsid w:val="4055256D"/>
    <w:rsid w:val="416D69AA"/>
    <w:rsid w:val="41C46E65"/>
    <w:rsid w:val="42693BF2"/>
    <w:rsid w:val="42D947B7"/>
    <w:rsid w:val="45960C3D"/>
    <w:rsid w:val="4B601C9D"/>
    <w:rsid w:val="4DE41AF6"/>
    <w:rsid w:val="4EE7F718"/>
    <w:rsid w:val="52E9769D"/>
    <w:rsid w:val="574939B1"/>
    <w:rsid w:val="5BCC1C32"/>
    <w:rsid w:val="5CBF1A71"/>
    <w:rsid w:val="5E190FF9"/>
    <w:rsid w:val="6773320D"/>
    <w:rsid w:val="67A60D21"/>
    <w:rsid w:val="6B0D0A13"/>
    <w:rsid w:val="6B355732"/>
    <w:rsid w:val="6E663CDB"/>
    <w:rsid w:val="726A601B"/>
    <w:rsid w:val="75C5557C"/>
    <w:rsid w:val="75ED5389"/>
    <w:rsid w:val="75FF945B"/>
    <w:rsid w:val="76FCA248"/>
    <w:rsid w:val="793565FC"/>
    <w:rsid w:val="79F10BF6"/>
    <w:rsid w:val="7E2D4AA5"/>
    <w:rsid w:val="7F102C5A"/>
    <w:rsid w:val="B7FF4388"/>
    <w:rsid w:val="FDBCCBD8"/>
    <w:rsid w:val="FF65A4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autoRedefine/>
    <w:unhideWhenUsed/>
    <w:qFormat/>
    <w:uiPriority w:val="0"/>
    <w:pPr>
      <w:keepNext/>
      <w:keepLines/>
      <w:numPr>
        <w:ilvl w:val="1"/>
        <w:numId w:val="1"/>
      </w:numPr>
      <w:outlineLvl w:val="1"/>
    </w:pPr>
    <w:rPr>
      <w:rFonts w:ascii="Arial" w:hAnsi="Arial"/>
      <w:b/>
    </w:rPr>
  </w:style>
  <w:style w:type="paragraph" w:styleId="6">
    <w:name w:val="heading 3"/>
    <w:basedOn w:val="1"/>
    <w:next w:val="1"/>
    <w:autoRedefine/>
    <w:unhideWhenUsed/>
    <w:qFormat/>
    <w:uiPriority w:val="0"/>
    <w:pPr>
      <w:keepLines/>
      <w:numPr>
        <w:ilvl w:val="2"/>
        <w:numId w:val="1"/>
      </w:numPr>
      <w:adjustRightInd w:val="0"/>
      <w:outlineLvl w:val="2"/>
    </w:pPr>
    <w:rPr>
      <w:color w:val="000000" w:themeColor="text1"/>
      <w14:textFill>
        <w14:solidFill>
          <w14:schemeClr w14:val="tx1"/>
        </w14:solidFill>
      </w14:textFill>
    </w:rPr>
  </w:style>
  <w:style w:type="paragraph" w:styleId="7">
    <w:name w:val="heading 4"/>
    <w:basedOn w:val="1"/>
    <w:next w:val="1"/>
    <w:qFormat/>
    <w:uiPriority w:val="1"/>
    <w:pPr>
      <w:spacing w:before="117"/>
      <w:ind w:left="522"/>
      <w:outlineLvl w:val="3"/>
    </w:pPr>
    <w:rPr>
      <w:rFonts w:ascii="宋体" w:hAnsi="宋体"/>
      <w:b/>
      <w:bCs/>
      <w:szCs w:val="21"/>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line="480" w:lineRule="exact"/>
      <w:ind w:left="420" w:leftChars="200" w:firstLine="420" w:firstLineChars="200"/>
    </w:pPr>
  </w:style>
  <w:style w:type="paragraph" w:styleId="3">
    <w:name w:val="Body Text Indent"/>
    <w:basedOn w:val="1"/>
    <w:next w:val="4"/>
    <w:qFormat/>
    <w:uiPriority w:val="0"/>
    <w:pPr>
      <w:adjustRightInd w:val="0"/>
      <w:spacing w:line="360" w:lineRule="auto"/>
      <w:ind w:firstLine="490"/>
      <w:jc w:val="left"/>
    </w:pPr>
    <w:rPr>
      <w:rFonts w:ascii="Century Gothic" w:hAnsi="Century Gothic" w:eastAsia="Century Gothic"/>
      <w:sz w:val="24"/>
      <w:szCs w:val="20"/>
    </w:rPr>
  </w:style>
  <w:style w:type="paragraph" w:styleId="4">
    <w:name w:val="envelope return"/>
    <w:basedOn w:val="1"/>
    <w:qFormat/>
    <w:uiPriority w:val="0"/>
    <w:pPr>
      <w:snapToGrid w:val="0"/>
    </w:pPr>
    <w:rPr>
      <w:rFonts w:ascii="Arial" w:hAnsi="Arial"/>
    </w:rPr>
  </w:style>
  <w:style w:type="paragraph" w:styleId="8">
    <w:name w:val="annotation text"/>
    <w:basedOn w:val="1"/>
    <w:link w:val="26"/>
    <w:semiHidden/>
    <w:unhideWhenUsed/>
    <w:qFormat/>
    <w:uiPriority w:val="99"/>
    <w:pPr>
      <w:jc w:val="left"/>
    </w:pPr>
  </w:style>
  <w:style w:type="paragraph" w:styleId="9">
    <w:name w:val="Body Text"/>
    <w:basedOn w:val="1"/>
    <w:qFormat/>
    <w:uiPriority w:val="0"/>
    <w:pPr>
      <w:jc w:val="center"/>
    </w:pPr>
    <w:rPr>
      <w:sz w:val="52"/>
    </w:rPr>
  </w:style>
  <w:style w:type="paragraph" w:styleId="10">
    <w:name w:val="index 4"/>
    <w:basedOn w:val="1"/>
    <w:next w:val="1"/>
    <w:unhideWhenUsed/>
    <w:qFormat/>
    <w:uiPriority w:val="99"/>
    <w:pPr>
      <w:ind w:left="600" w:leftChars="600"/>
    </w:pPr>
    <w:rPr>
      <w:rFonts w:ascii="Verdana" w:hAnsi="Verdana"/>
      <w:szCs w:val="20"/>
    </w:rPr>
  </w:style>
  <w:style w:type="paragraph" w:styleId="11">
    <w:name w:val="Balloon Text"/>
    <w:basedOn w:val="1"/>
    <w:link w:val="28"/>
    <w:autoRedefine/>
    <w:semiHidden/>
    <w:unhideWhenUsed/>
    <w:qFormat/>
    <w:uiPriority w:val="99"/>
    <w:rPr>
      <w:sz w:val="18"/>
      <w:szCs w:val="18"/>
    </w:rPr>
  </w:style>
  <w:style w:type="paragraph" w:styleId="12">
    <w:name w:val="footer"/>
    <w:basedOn w:val="1"/>
    <w:link w:val="24"/>
    <w:autoRedefine/>
    <w:unhideWhenUsed/>
    <w:qFormat/>
    <w:uiPriority w:val="99"/>
    <w:pPr>
      <w:tabs>
        <w:tab w:val="center" w:pos="4153"/>
        <w:tab w:val="right" w:pos="8306"/>
      </w:tabs>
      <w:snapToGrid w:val="0"/>
      <w:jc w:val="left"/>
    </w:pPr>
    <w:rPr>
      <w:sz w:val="18"/>
      <w:szCs w:val="18"/>
    </w:rPr>
  </w:style>
  <w:style w:type="paragraph" w:styleId="13">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8"/>
    <w:next w:val="8"/>
    <w:link w:val="27"/>
    <w:semiHidden/>
    <w:unhideWhenUsed/>
    <w:qFormat/>
    <w:uiPriority w:val="99"/>
    <w:rPr>
      <w:b/>
      <w:bCs/>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annotation reference"/>
    <w:basedOn w:val="18"/>
    <w:autoRedefine/>
    <w:semiHidden/>
    <w:unhideWhenUsed/>
    <w:qFormat/>
    <w:uiPriority w:val="99"/>
    <w:rPr>
      <w:sz w:val="21"/>
      <w:szCs w:val="21"/>
    </w:rPr>
  </w:style>
  <w:style w:type="paragraph" w:customStyle="1" w:styleId="2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
    <w:name w:val="wp_visitcount"/>
    <w:basedOn w:val="18"/>
    <w:autoRedefine/>
    <w:qFormat/>
    <w:uiPriority w:val="0"/>
  </w:style>
  <w:style w:type="character" w:customStyle="1" w:styleId="23">
    <w:name w:val="页眉 字符"/>
    <w:basedOn w:val="18"/>
    <w:link w:val="13"/>
    <w:autoRedefine/>
    <w:qFormat/>
    <w:uiPriority w:val="99"/>
    <w:rPr>
      <w:rFonts w:asciiTheme="minorHAnsi" w:hAnsiTheme="minorHAnsi" w:eastAsiaTheme="minorEastAsia" w:cstheme="minorBidi"/>
      <w:kern w:val="2"/>
      <w:sz w:val="18"/>
      <w:szCs w:val="18"/>
    </w:rPr>
  </w:style>
  <w:style w:type="character" w:customStyle="1" w:styleId="24">
    <w:name w:val="页脚 字符"/>
    <w:basedOn w:val="18"/>
    <w:link w:val="12"/>
    <w:autoRedefine/>
    <w:qFormat/>
    <w:uiPriority w:val="99"/>
    <w:rPr>
      <w:rFonts w:asciiTheme="minorHAnsi" w:hAnsiTheme="minorHAnsi" w:eastAsiaTheme="minorEastAsia" w:cstheme="minorBidi"/>
      <w:kern w:val="2"/>
      <w:sz w:val="18"/>
      <w:szCs w:val="18"/>
    </w:rPr>
  </w:style>
  <w:style w:type="paragraph" w:styleId="25">
    <w:name w:val="List Paragraph"/>
    <w:basedOn w:val="1"/>
    <w:autoRedefine/>
    <w:qFormat/>
    <w:uiPriority w:val="34"/>
    <w:pPr>
      <w:ind w:firstLine="420" w:firstLineChars="200"/>
    </w:pPr>
  </w:style>
  <w:style w:type="character" w:customStyle="1" w:styleId="26">
    <w:name w:val="批注文字 字符"/>
    <w:basedOn w:val="18"/>
    <w:link w:val="8"/>
    <w:autoRedefine/>
    <w:semiHidden/>
    <w:qFormat/>
    <w:uiPriority w:val="99"/>
    <w:rPr>
      <w:rFonts w:asciiTheme="minorHAnsi" w:hAnsiTheme="minorHAnsi" w:eastAsiaTheme="minorEastAsia" w:cstheme="minorBidi"/>
      <w:kern w:val="2"/>
      <w:sz w:val="21"/>
      <w:szCs w:val="22"/>
    </w:rPr>
  </w:style>
  <w:style w:type="character" w:customStyle="1" w:styleId="27">
    <w:name w:val="批注主题 字符"/>
    <w:basedOn w:val="26"/>
    <w:link w:val="15"/>
    <w:qFormat/>
    <w:uiPriority w:val="0"/>
    <w:rPr>
      <w:rFonts w:asciiTheme="minorHAnsi" w:hAnsiTheme="minorHAnsi" w:eastAsiaTheme="minorEastAsia" w:cstheme="minorBidi"/>
      <w:kern w:val="2"/>
      <w:sz w:val="21"/>
      <w:szCs w:val="22"/>
    </w:rPr>
  </w:style>
  <w:style w:type="character" w:customStyle="1" w:styleId="28">
    <w:name w:val="批注框文本 字符"/>
    <w:basedOn w:val="18"/>
    <w:link w:val="11"/>
    <w:autoRedefine/>
    <w:semiHidden/>
    <w:qFormat/>
    <w:uiPriority w:val="99"/>
    <w:rPr>
      <w:rFonts w:asciiTheme="minorHAnsi" w:hAnsiTheme="minorHAnsi" w:eastAsiaTheme="minorEastAsia" w:cstheme="minorBidi"/>
      <w:kern w:val="2"/>
      <w:sz w:val="18"/>
      <w:szCs w:val="18"/>
    </w:rPr>
  </w:style>
  <w:style w:type="paragraph" w:customStyle="1" w:styleId="29">
    <w:name w:val="PlainText"/>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8</Pages>
  <Words>5935</Words>
  <Characters>6878</Characters>
  <Lines>38</Lines>
  <Paragraphs>10</Paragraphs>
  <TotalTime>9</TotalTime>
  <ScaleCrop>false</ScaleCrop>
  <LinksUpToDate>false</LinksUpToDate>
  <CharactersWithSpaces>6898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2022-10-08T20:53:00Z</dcterms:created>
  <dc:creator>Administrator</dc:creator>
  <cp:lastModifiedBy>JiangLuuuu</cp:lastModifiedBy>
  <dcterms:modified xsi:type="dcterms:W3CDTF">2024-02-25T08:10:16Z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A74B9EA369F74F81812166F4941E8619_13</vt:lpwstr>
  </property>
</Properties>
</file>